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2C557" w14:textId="0395E92A" w:rsidR="008B04BC" w:rsidRDefault="003678C4" w:rsidP="00722DFD">
      <w:pPr>
        <w:pStyle w:val="Title"/>
        <w:rPr>
          <w:i/>
        </w:rPr>
      </w:pPr>
      <w:r>
        <w:t xml:space="preserve">The </w:t>
      </w:r>
      <w:r w:rsidR="001F7A3A">
        <w:t>Strategic Value</w:t>
      </w:r>
      <w:r>
        <w:t xml:space="preserve"> of a University’s H</w:t>
      </w:r>
      <w:r w:rsidR="001F7A3A">
        <w:t>yper-Local Innovation Ecosystem</w:t>
      </w:r>
      <w:r>
        <w:t xml:space="preserve">:  </w:t>
      </w:r>
      <w:r w:rsidRPr="00D5489D">
        <w:rPr>
          <w:i/>
        </w:rPr>
        <w:t xml:space="preserve">Grow, </w:t>
      </w:r>
      <w:r w:rsidR="00785EB1" w:rsidRPr="00D5489D">
        <w:rPr>
          <w:i/>
        </w:rPr>
        <w:t>Branch</w:t>
      </w:r>
      <w:r w:rsidRPr="00D5489D">
        <w:rPr>
          <w:i/>
        </w:rPr>
        <w:t xml:space="preserve"> or </w:t>
      </w:r>
      <w:r w:rsidR="0091119D">
        <w:rPr>
          <w:i/>
        </w:rPr>
        <w:t>Envy</w:t>
      </w:r>
    </w:p>
    <w:p w14:paraId="396FC617" w14:textId="100F2EF5" w:rsidR="00A43D27" w:rsidRPr="00A43D27" w:rsidRDefault="00A43D27" w:rsidP="00A43D27">
      <w:r>
        <w:t>By Mike Alvarez Cohen, MBA</w:t>
      </w:r>
    </w:p>
    <w:p w14:paraId="65CA90F0" w14:textId="77777777" w:rsidR="008B04BC" w:rsidRDefault="008B04BC" w:rsidP="008B04BC">
      <w:pPr>
        <w:pStyle w:val="BodyText"/>
        <w:rPr>
          <w:i/>
        </w:rPr>
      </w:pPr>
    </w:p>
    <w:p w14:paraId="33D042A0" w14:textId="77777777" w:rsidR="00B23550" w:rsidRDefault="00B2355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Abstract:</w:t>
      </w:r>
    </w:p>
    <w:p w14:paraId="5A589F23" w14:textId="05C4F895" w:rsidR="000516CF" w:rsidRDefault="008B04BC" w:rsidP="009275A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="00885B2B">
        <w:rPr>
          <w:rFonts w:ascii="Helvetica" w:hAnsi="Helvetica" w:cs="Helvetica"/>
        </w:rPr>
        <w:t>university’s</w:t>
      </w:r>
      <w:r w:rsidR="000B5C58">
        <w:rPr>
          <w:rFonts w:ascii="Helvetica" w:hAnsi="Helvetica" w:cs="Helvetica"/>
        </w:rPr>
        <w:t xml:space="preserve"> hyper-local innovation ecosystem (Hy-LIE) not only helps </w:t>
      </w:r>
      <w:r w:rsidR="001E036C">
        <w:rPr>
          <w:rFonts w:ascii="Helvetica" w:hAnsi="Helvetica" w:cs="Helvetica"/>
        </w:rPr>
        <w:t>drive</w:t>
      </w:r>
      <w:r w:rsidR="00581C6F">
        <w:rPr>
          <w:rFonts w:ascii="Helvetica" w:hAnsi="Helvetica" w:cs="Helvetica"/>
        </w:rPr>
        <w:t xml:space="preserve"> </w:t>
      </w:r>
      <w:r w:rsidR="000B5C58">
        <w:rPr>
          <w:rFonts w:ascii="Helvetica" w:hAnsi="Helvetica" w:cs="Helvetica"/>
        </w:rPr>
        <w:t xml:space="preserve">the economic vitality of the university’s region, it </w:t>
      </w:r>
      <w:r w:rsidR="00581C6F">
        <w:rPr>
          <w:rFonts w:ascii="Helvetica" w:hAnsi="Helvetica" w:cs="Helvetica"/>
        </w:rPr>
        <w:t xml:space="preserve">is </w:t>
      </w:r>
      <w:r w:rsidR="000B5C58">
        <w:rPr>
          <w:rFonts w:ascii="Helvetica" w:hAnsi="Helvetica" w:cs="Helvetica"/>
        </w:rPr>
        <w:t xml:space="preserve">also </w:t>
      </w:r>
      <w:r w:rsidR="009D5F0C">
        <w:rPr>
          <w:rFonts w:ascii="Helvetica" w:hAnsi="Helvetica" w:cs="Helvetica"/>
        </w:rPr>
        <w:t>a s</w:t>
      </w:r>
      <w:r w:rsidR="00581C6F">
        <w:rPr>
          <w:rFonts w:ascii="Helvetica" w:hAnsi="Helvetica" w:cs="Helvetica"/>
        </w:rPr>
        <w:t xml:space="preserve">trategic asset to </w:t>
      </w:r>
      <w:r w:rsidR="000B5C58">
        <w:rPr>
          <w:rFonts w:ascii="Helvetica" w:hAnsi="Helvetica" w:cs="Helvetica"/>
        </w:rPr>
        <w:t xml:space="preserve">the university itself – especially its </w:t>
      </w:r>
      <w:r w:rsidR="0091119D">
        <w:rPr>
          <w:rFonts w:ascii="Helvetica" w:hAnsi="Helvetica" w:cs="Helvetica"/>
        </w:rPr>
        <w:t>science, technology, engineerin</w:t>
      </w:r>
      <w:r w:rsidR="005A5E69">
        <w:rPr>
          <w:rFonts w:ascii="Helvetica" w:hAnsi="Helvetica" w:cs="Helvetica"/>
        </w:rPr>
        <w:t>g and math as well as business</w:t>
      </w:r>
      <w:r w:rsidR="00D4198E">
        <w:rPr>
          <w:rFonts w:ascii="Helvetica" w:hAnsi="Helvetica" w:cs="Helvetica"/>
        </w:rPr>
        <w:t xml:space="preserve"> (STEM-B)</w:t>
      </w:r>
      <w:r w:rsidR="005A5E69">
        <w:rPr>
          <w:rFonts w:ascii="Helvetica" w:hAnsi="Helvetica" w:cs="Helvetica"/>
        </w:rPr>
        <w:t xml:space="preserve"> </w:t>
      </w:r>
      <w:r w:rsidR="000B5C58">
        <w:rPr>
          <w:rFonts w:ascii="Helvetica" w:hAnsi="Helvetica" w:cs="Helvetica"/>
        </w:rPr>
        <w:t>programs. Accordingly, t</w:t>
      </w:r>
      <w:r>
        <w:rPr>
          <w:rFonts w:ascii="Helvetica" w:hAnsi="Helvetica" w:cs="Helvetica"/>
        </w:rPr>
        <w:t>op</w:t>
      </w:r>
      <w:r w:rsidR="005A5E69">
        <w:rPr>
          <w:rFonts w:ascii="Helvetica" w:hAnsi="Helvetica" w:cs="Helvetica"/>
        </w:rPr>
        <w:t>-tier</w:t>
      </w:r>
      <w:r>
        <w:rPr>
          <w:rFonts w:ascii="Helvetica" w:hAnsi="Helvetica" w:cs="Helvetica"/>
        </w:rPr>
        <w:t xml:space="preserve"> universit</w:t>
      </w:r>
      <w:r w:rsidR="005A5E69">
        <w:rPr>
          <w:rFonts w:ascii="Helvetica" w:hAnsi="Helvetica" w:cs="Helvetica"/>
        </w:rPr>
        <w:t xml:space="preserve">ies </w:t>
      </w:r>
      <w:r>
        <w:rPr>
          <w:rFonts w:ascii="Helvetica" w:hAnsi="Helvetica" w:cs="Helvetica"/>
        </w:rPr>
        <w:t xml:space="preserve">with </w:t>
      </w:r>
      <w:r w:rsidR="005A5E69">
        <w:rPr>
          <w:rFonts w:ascii="Helvetica" w:hAnsi="Helvetica" w:cs="Helvetica"/>
        </w:rPr>
        <w:t xml:space="preserve">robust </w:t>
      </w:r>
      <w:r>
        <w:rPr>
          <w:rFonts w:ascii="Helvetica" w:hAnsi="Helvetica" w:cs="Helvetica"/>
        </w:rPr>
        <w:t xml:space="preserve">Hy-LIEs </w:t>
      </w:r>
      <w:r w:rsidR="005A5E69">
        <w:rPr>
          <w:rFonts w:ascii="Helvetica" w:hAnsi="Helvetica" w:cs="Helvetica"/>
        </w:rPr>
        <w:t>are</w:t>
      </w:r>
      <w:r w:rsidR="008B4EB8">
        <w:rPr>
          <w:rFonts w:ascii="Helvetica" w:hAnsi="Helvetica" w:cs="Helvetica"/>
        </w:rPr>
        <w:t xml:space="preserve"> beginning to</w:t>
      </w:r>
      <w:r w:rsidR="005A5E69">
        <w:rPr>
          <w:rFonts w:ascii="Helvetica" w:hAnsi="Helvetica" w:cs="Helvetica"/>
        </w:rPr>
        <w:t xml:space="preserve"> leverage</w:t>
      </w:r>
      <w:r w:rsidR="0091119D">
        <w:rPr>
          <w:rFonts w:ascii="Helvetica" w:hAnsi="Helvetica" w:cs="Helvetica"/>
        </w:rPr>
        <w:t xml:space="preserve"> this competitive asset </w:t>
      </w:r>
      <w:r w:rsidR="005A5E69">
        <w:rPr>
          <w:rFonts w:ascii="Helvetica" w:hAnsi="Helvetica" w:cs="Helvetica"/>
        </w:rPr>
        <w:t>to establish</w:t>
      </w:r>
      <w:r>
        <w:rPr>
          <w:rFonts w:ascii="Helvetica" w:hAnsi="Helvetica" w:cs="Helvetica"/>
        </w:rPr>
        <w:t xml:space="preserve"> </w:t>
      </w:r>
      <w:r w:rsidR="008B4EB8">
        <w:rPr>
          <w:rFonts w:ascii="Helvetica" w:hAnsi="Helvetica" w:cs="Helvetica"/>
        </w:rPr>
        <w:t xml:space="preserve">themselves in a </w:t>
      </w:r>
      <w:r>
        <w:rPr>
          <w:rFonts w:ascii="Helvetica" w:hAnsi="Helvetica" w:cs="Helvetica"/>
        </w:rPr>
        <w:t>new elite tier of universities</w:t>
      </w:r>
      <w:r w:rsidR="0091119D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5736FA">
        <w:rPr>
          <w:rFonts w:ascii="Helvetica" w:hAnsi="Helvetica" w:cs="Helvetica"/>
        </w:rPr>
        <w:t>Correspondingly</w:t>
      </w:r>
      <w:r>
        <w:rPr>
          <w:rFonts w:ascii="Helvetica" w:hAnsi="Helvetica" w:cs="Helvetica"/>
        </w:rPr>
        <w:t xml:space="preserve">, </w:t>
      </w:r>
      <w:r w:rsidR="008B4EB8">
        <w:rPr>
          <w:rFonts w:ascii="Helvetica" w:hAnsi="Helvetica" w:cs="Helvetica"/>
        </w:rPr>
        <w:t>those</w:t>
      </w:r>
      <w:r w:rsidR="009275AE">
        <w:rPr>
          <w:rFonts w:ascii="Helvetica" w:hAnsi="Helvetica" w:cs="Helvetica"/>
        </w:rPr>
        <w:t xml:space="preserve"> </w:t>
      </w:r>
      <w:r w:rsidR="005A5E69">
        <w:rPr>
          <w:rFonts w:ascii="Helvetica" w:hAnsi="Helvetica" w:cs="Helvetica"/>
        </w:rPr>
        <w:t xml:space="preserve">top-tier </w:t>
      </w:r>
      <w:r>
        <w:rPr>
          <w:rFonts w:ascii="Helvetica" w:hAnsi="Helvetica" w:cs="Helvetica"/>
        </w:rPr>
        <w:t xml:space="preserve">universities with weak Hy-LIEs </w:t>
      </w:r>
      <w:r w:rsidR="008B4EB8">
        <w:rPr>
          <w:rFonts w:ascii="Helvetica" w:hAnsi="Helvetica" w:cs="Helvetica"/>
        </w:rPr>
        <w:t xml:space="preserve">that </w:t>
      </w:r>
      <w:r w:rsidR="005736FA">
        <w:rPr>
          <w:rFonts w:ascii="Helvetica" w:hAnsi="Helvetica" w:cs="Helvetica"/>
        </w:rPr>
        <w:t xml:space="preserve">don’t address this </w:t>
      </w:r>
      <w:r w:rsidR="00696BD1">
        <w:rPr>
          <w:rFonts w:ascii="Helvetica" w:hAnsi="Helvetica" w:cs="Helvetica"/>
        </w:rPr>
        <w:t>disadvantage</w:t>
      </w:r>
      <w:r w:rsidR="008B4EB8">
        <w:rPr>
          <w:rFonts w:ascii="Helvetica" w:hAnsi="Helvetica" w:cs="Helvetica"/>
        </w:rPr>
        <w:t xml:space="preserve"> </w:t>
      </w:r>
      <w:r w:rsidR="009275AE">
        <w:rPr>
          <w:rFonts w:ascii="Helvetica" w:hAnsi="Helvetica" w:cs="Helvetica"/>
        </w:rPr>
        <w:t>will</w:t>
      </w:r>
      <w:r w:rsidR="008B4EB8">
        <w:rPr>
          <w:rFonts w:ascii="Helvetica" w:hAnsi="Helvetica" w:cs="Helvetica"/>
        </w:rPr>
        <w:t xml:space="preserve"> be</w:t>
      </w:r>
      <w:r w:rsidR="009275AE">
        <w:rPr>
          <w:rFonts w:ascii="Helvetica" w:hAnsi="Helvetica" w:cs="Helvetica"/>
        </w:rPr>
        <w:t xml:space="preserve"> increasingly </w:t>
      </w:r>
      <w:r w:rsidR="005D38C6">
        <w:rPr>
          <w:rFonts w:ascii="Helvetica" w:hAnsi="Helvetica" w:cs="Helvetica"/>
        </w:rPr>
        <w:t xml:space="preserve">in the unenviable position of having to downplay Hy-LIEs when </w:t>
      </w:r>
      <w:r w:rsidR="00EF4686">
        <w:rPr>
          <w:rFonts w:ascii="Helvetica" w:hAnsi="Helvetica" w:cs="Helvetica"/>
        </w:rPr>
        <w:t>competing</w:t>
      </w:r>
      <w:r w:rsidR="005D38C6">
        <w:rPr>
          <w:rFonts w:ascii="Helvetica" w:hAnsi="Helvetica" w:cs="Helvetica"/>
        </w:rPr>
        <w:t xml:space="preserve"> to attract and retain top </w:t>
      </w:r>
      <w:r w:rsidR="00D4198E">
        <w:rPr>
          <w:rFonts w:ascii="Helvetica" w:hAnsi="Helvetica" w:cs="Helvetica"/>
        </w:rPr>
        <w:t xml:space="preserve">STEM-B </w:t>
      </w:r>
      <w:r w:rsidR="005D38C6">
        <w:rPr>
          <w:rFonts w:ascii="Helvetica" w:hAnsi="Helvetica" w:cs="Helvetica"/>
        </w:rPr>
        <w:t>faculty and students.</w:t>
      </w:r>
      <w:r w:rsidR="009275AE">
        <w:rPr>
          <w:rFonts w:ascii="Helvetica" w:hAnsi="Helvetica" w:cs="Helvetica"/>
        </w:rPr>
        <w:t xml:space="preserve"> Already, many top-tier universities with weak Hy-LIEs are addressing their disadvantage by either:</w:t>
      </w:r>
      <w:r>
        <w:rPr>
          <w:rFonts w:ascii="Helvetica" w:hAnsi="Helvetica" w:cs="Helvetica"/>
        </w:rPr>
        <w:t xml:space="preserve"> (1) grow</w:t>
      </w:r>
      <w:r w:rsidR="009275AE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 xml:space="preserve"> their own </w:t>
      </w:r>
      <w:r w:rsidR="00696BD1">
        <w:rPr>
          <w:rFonts w:ascii="Helvetica" w:hAnsi="Helvetica" w:cs="Helvetica"/>
        </w:rPr>
        <w:t xml:space="preserve">robust </w:t>
      </w:r>
      <w:r>
        <w:rPr>
          <w:rFonts w:ascii="Helvetica" w:hAnsi="Helvetica" w:cs="Helvetica"/>
        </w:rPr>
        <w:t>Hy-LIE; and/or (2) branch</w:t>
      </w:r>
      <w:r w:rsidR="009275AE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>-out with a sister campus in the robust Hy-LIE of another region. </w:t>
      </w:r>
      <w:r w:rsidR="00DD202D">
        <w:rPr>
          <w:rFonts w:ascii="Helvetica" w:hAnsi="Helvetica" w:cs="Helvetica"/>
        </w:rPr>
        <w:t xml:space="preserve">The emerging importance of a university’s </w:t>
      </w:r>
      <w:proofErr w:type="spellStart"/>
      <w:r w:rsidR="00DD202D">
        <w:rPr>
          <w:rFonts w:ascii="Helvetica" w:hAnsi="Helvetica" w:cs="Helvetica"/>
        </w:rPr>
        <w:t>Hy</w:t>
      </w:r>
      <w:proofErr w:type="spellEnd"/>
      <w:r w:rsidR="00DD202D">
        <w:rPr>
          <w:rFonts w:ascii="Helvetica" w:hAnsi="Helvetica" w:cs="Helvetica"/>
        </w:rPr>
        <w:t>-LIE will lead to several trends including many research universities having</w:t>
      </w:r>
      <w:r w:rsidR="006B083F">
        <w:rPr>
          <w:rFonts w:ascii="Helvetica" w:hAnsi="Helvetica" w:cs="Helvetica"/>
        </w:rPr>
        <w:t>:</w:t>
      </w:r>
      <w:r w:rsidR="00DD202D">
        <w:rPr>
          <w:rFonts w:ascii="Helvetica" w:hAnsi="Helvetica" w:cs="Helvetica"/>
        </w:rPr>
        <w:t xml:space="preserve"> (1) campuses </w:t>
      </w:r>
      <w:r w:rsidR="006650F5">
        <w:rPr>
          <w:rFonts w:ascii="Helvetica" w:hAnsi="Helvetica" w:cs="Helvetica"/>
        </w:rPr>
        <w:t xml:space="preserve">located in several </w:t>
      </w:r>
      <w:r w:rsidR="00324701">
        <w:rPr>
          <w:rFonts w:ascii="Helvetica" w:hAnsi="Helvetica" w:cs="Helvetica"/>
        </w:rPr>
        <w:t xml:space="preserve">leading US and international </w:t>
      </w:r>
      <w:proofErr w:type="spellStart"/>
      <w:r w:rsidR="00324701">
        <w:rPr>
          <w:rFonts w:ascii="Helvetica" w:hAnsi="Helvetica" w:cs="Helvetica"/>
        </w:rPr>
        <w:t>Hy</w:t>
      </w:r>
      <w:proofErr w:type="spellEnd"/>
      <w:r w:rsidR="00324701">
        <w:rPr>
          <w:rFonts w:ascii="Helvetica" w:hAnsi="Helvetica" w:cs="Helvetica"/>
        </w:rPr>
        <w:t>-LIEs</w:t>
      </w:r>
      <w:r w:rsidR="00DD202D">
        <w:rPr>
          <w:rFonts w:ascii="Helvetica" w:hAnsi="Helvetica" w:cs="Helvetica"/>
        </w:rPr>
        <w:t xml:space="preserve">, (2) </w:t>
      </w:r>
      <w:r w:rsidR="00324701">
        <w:rPr>
          <w:rFonts w:ascii="Helvetica" w:hAnsi="Helvetica" w:cs="Helvetica"/>
        </w:rPr>
        <w:t xml:space="preserve">campus </w:t>
      </w:r>
      <w:r w:rsidR="00DD202D">
        <w:rPr>
          <w:rFonts w:ascii="Helvetica" w:hAnsi="Helvetica" w:cs="Helvetica"/>
        </w:rPr>
        <w:t xml:space="preserve">startup accelerators, (3) economic </w:t>
      </w:r>
      <w:r w:rsidR="00EC69C5">
        <w:rPr>
          <w:rFonts w:ascii="Helvetica" w:hAnsi="Helvetica" w:cs="Helvetica"/>
        </w:rPr>
        <w:t xml:space="preserve">development </w:t>
      </w:r>
      <w:r w:rsidR="00DD202D">
        <w:rPr>
          <w:rFonts w:ascii="Helvetica" w:hAnsi="Helvetica" w:cs="Helvetica"/>
        </w:rPr>
        <w:t xml:space="preserve">collaborations </w:t>
      </w:r>
      <w:r w:rsidR="009A4598">
        <w:rPr>
          <w:rFonts w:ascii="Helvetica" w:hAnsi="Helvetica" w:cs="Helvetica"/>
        </w:rPr>
        <w:t>with</w:t>
      </w:r>
      <w:r w:rsidR="00DD202D">
        <w:rPr>
          <w:rFonts w:ascii="Helvetica" w:hAnsi="Helvetica" w:cs="Helvetica"/>
        </w:rPr>
        <w:t xml:space="preserve"> their local governments, (4) </w:t>
      </w:r>
      <w:r w:rsidR="00EC69C5">
        <w:rPr>
          <w:rFonts w:ascii="Helvetica" w:hAnsi="Helvetica" w:cs="Helvetica"/>
        </w:rPr>
        <w:t xml:space="preserve">an employee responsible for local innovation ecosystem development, and (5) </w:t>
      </w:r>
      <w:proofErr w:type="spellStart"/>
      <w:r w:rsidR="00FD7B8F">
        <w:rPr>
          <w:rFonts w:ascii="Helvetica" w:hAnsi="Helvetica" w:cs="Helvetica"/>
        </w:rPr>
        <w:t>Hy</w:t>
      </w:r>
      <w:proofErr w:type="spellEnd"/>
      <w:r w:rsidR="00FD7B8F">
        <w:rPr>
          <w:rFonts w:ascii="Helvetica" w:hAnsi="Helvetica" w:cs="Helvetica"/>
        </w:rPr>
        <w:t xml:space="preserve">-LIE </w:t>
      </w:r>
      <w:r w:rsidR="006650F5">
        <w:rPr>
          <w:rFonts w:ascii="Helvetica" w:hAnsi="Helvetica" w:cs="Helvetica"/>
        </w:rPr>
        <w:t>characterization</w:t>
      </w:r>
      <w:r w:rsidR="006B083F">
        <w:rPr>
          <w:rFonts w:ascii="Helvetica" w:hAnsi="Helvetica" w:cs="Helvetica"/>
        </w:rPr>
        <w:t xml:space="preserve"> as </w:t>
      </w:r>
      <w:r w:rsidR="00EC69C5">
        <w:rPr>
          <w:rFonts w:ascii="Helvetica" w:hAnsi="Helvetica" w:cs="Helvetica"/>
        </w:rPr>
        <w:t xml:space="preserve">a new metric by which to </w:t>
      </w:r>
      <w:r w:rsidR="00280F08">
        <w:rPr>
          <w:rFonts w:ascii="Helvetica" w:hAnsi="Helvetica" w:cs="Helvetica"/>
        </w:rPr>
        <w:t>evaluate</w:t>
      </w:r>
      <w:r w:rsidR="007B2D53">
        <w:rPr>
          <w:rFonts w:ascii="Helvetica" w:hAnsi="Helvetica" w:cs="Helvetica"/>
        </w:rPr>
        <w:t xml:space="preserve"> and rank</w:t>
      </w:r>
      <w:r w:rsidR="00EC69C5">
        <w:rPr>
          <w:rFonts w:ascii="Helvetica" w:hAnsi="Helvetica" w:cs="Helvetica"/>
        </w:rPr>
        <w:t xml:space="preserve"> </w:t>
      </w:r>
      <w:r w:rsidR="00FD7B8F">
        <w:rPr>
          <w:rFonts w:ascii="Helvetica" w:hAnsi="Helvetica" w:cs="Helvetica"/>
        </w:rPr>
        <w:t>university</w:t>
      </w:r>
      <w:r w:rsidR="00EC69C5">
        <w:rPr>
          <w:rFonts w:ascii="Helvetica" w:hAnsi="Helvetica" w:cs="Helvetica"/>
        </w:rPr>
        <w:t xml:space="preserve"> excellence. </w:t>
      </w:r>
    </w:p>
    <w:p w14:paraId="778ABEB7" w14:textId="77777777" w:rsidR="000B5C58" w:rsidRDefault="000B5C58"/>
    <w:p w14:paraId="19596E7A" w14:textId="77777777" w:rsidR="00B23550" w:rsidRPr="004B422C" w:rsidRDefault="00B23550">
      <w:pPr>
        <w:rPr>
          <w:rFonts w:ascii="Helvetica" w:hAnsi="Helvetica" w:cs="Helvetica"/>
        </w:rPr>
      </w:pPr>
      <w:r w:rsidRPr="004B422C">
        <w:rPr>
          <w:rFonts w:ascii="Helvetica" w:hAnsi="Helvetica" w:cs="Helvetica"/>
        </w:rPr>
        <w:t>Key Words:</w:t>
      </w:r>
    </w:p>
    <w:p w14:paraId="35F18495" w14:textId="598319E2" w:rsidR="008B04BC" w:rsidRDefault="00B2355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4B422C">
        <w:rPr>
          <w:rFonts w:ascii="Helvetica" w:hAnsi="Helvetica" w:cs="Helvetica"/>
        </w:rPr>
        <w:t xml:space="preserve">Universities; </w:t>
      </w:r>
      <w:r w:rsidR="000B5C58" w:rsidRPr="004B422C">
        <w:rPr>
          <w:rFonts w:ascii="Helvetica" w:hAnsi="Helvetica" w:cs="Helvetica"/>
        </w:rPr>
        <w:t xml:space="preserve">Startups; Accelerators; </w:t>
      </w:r>
      <w:r w:rsidR="003F571E">
        <w:rPr>
          <w:rFonts w:ascii="Helvetica" w:hAnsi="Helvetica" w:cs="Helvetica"/>
        </w:rPr>
        <w:t xml:space="preserve">Incubators; </w:t>
      </w:r>
      <w:r w:rsidR="000B5C58" w:rsidRPr="004B422C">
        <w:rPr>
          <w:rFonts w:ascii="Helvetica" w:hAnsi="Helvetica" w:cs="Helvetica"/>
        </w:rPr>
        <w:t xml:space="preserve">Research Parks; Entrepreneurship; </w:t>
      </w:r>
      <w:r w:rsidRPr="004B422C">
        <w:rPr>
          <w:rFonts w:ascii="Helvetica" w:hAnsi="Helvetica" w:cs="Helvetica"/>
        </w:rPr>
        <w:t xml:space="preserve">Innovation Ecosystems; </w:t>
      </w:r>
      <w:r w:rsidR="00112FD4">
        <w:rPr>
          <w:rFonts w:ascii="Helvetica" w:hAnsi="Helvetica" w:cs="Helvetica"/>
        </w:rPr>
        <w:t xml:space="preserve">Tech Transfer; </w:t>
      </w:r>
      <w:r w:rsidRPr="004B422C">
        <w:rPr>
          <w:rFonts w:ascii="Helvetica" w:hAnsi="Helvetica" w:cs="Helvetica"/>
        </w:rPr>
        <w:t>Commercializing Technology;</w:t>
      </w:r>
      <w:r w:rsidR="00475686" w:rsidRPr="004B422C">
        <w:rPr>
          <w:rFonts w:ascii="Helvetica" w:hAnsi="Helvetica" w:cs="Helvetica"/>
        </w:rPr>
        <w:t xml:space="preserve"> Venture Capital;</w:t>
      </w:r>
      <w:r w:rsidR="008B04BC">
        <w:br w:type="page"/>
      </w:r>
    </w:p>
    <w:p w14:paraId="2CB944DE" w14:textId="253323CF" w:rsidR="000F3C21" w:rsidRDefault="00443BDC" w:rsidP="00785EB1">
      <w:pPr>
        <w:pStyle w:val="Heading1"/>
      </w:pPr>
      <w:r>
        <w:lastRenderedPageBreak/>
        <w:t>Introduction</w:t>
      </w:r>
    </w:p>
    <w:p w14:paraId="5A93BD35" w14:textId="77777777" w:rsidR="003C039C" w:rsidRPr="00722DFD" w:rsidRDefault="003C039C" w:rsidP="003C039C">
      <w:pPr>
        <w:rPr>
          <w:sz w:val="20"/>
        </w:rPr>
      </w:pPr>
    </w:p>
    <w:p w14:paraId="70CE7BCF" w14:textId="08C518FA" w:rsidR="00037F62" w:rsidRDefault="007F51F1" w:rsidP="00037F62">
      <w:pPr>
        <w:pStyle w:val="BodyText"/>
      </w:pPr>
      <w:r>
        <w:t xml:space="preserve">It is </w:t>
      </w:r>
      <w:r w:rsidR="00A30DC6">
        <w:t>widely</w:t>
      </w:r>
      <w:r>
        <w:t xml:space="preserve"> accepted </w:t>
      </w:r>
      <w:r w:rsidR="00A30DC6">
        <w:t>among</w:t>
      </w:r>
      <w:r>
        <w:t xml:space="preserve"> </w:t>
      </w:r>
      <w:r w:rsidR="00A30DC6">
        <w:t xml:space="preserve">government </w:t>
      </w:r>
      <w:r>
        <w:t xml:space="preserve">policy and higher </w:t>
      </w:r>
      <w:r w:rsidR="00A30DC6">
        <w:t xml:space="preserve">education leaders that </w:t>
      </w:r>
      <w:r w:rsidR="00387F1E">
        <w:t xml:space="preserve">universities </w:t>
      </w:r>
      <w:r w:rsidR="00003CAA">
        <w:t xml:space="preserve">can </w:t>
      </w:r>
      <w:r w:rsidR="007E32F7">
        <w:t xml:space="preserve">drive </w:t>
      </w:r>
      <w:r w:rsidR="00FD30A1">
        <w:t xml:space="preserve">regional </w:t>
      </w:r>
      <w:r w:rsidR="001F7A3A">
        <w:t>economic vitality</w:t>
      </w:r>
      <w:r w:rsidR="00A30DC6">
        <w:t xml:space="preserve"> (</w:t>
      </w:r>
      <w:r w:rsidR="00945C58">
        <w:t>Lester, 2005</w:t>
      </w:r>
      <w:r w:rsidR="00A30DC6">
        <w:t>)</w:t>
      </w:r>
      <w:r w:rsidR="001F7A3A">
        <w:t>. B</w:t>
      </w:r>
      <w:r w:rsidR="00387F1E">
        <w:t xml:space="preserve">ut </w:t>
      </w:r>
      <w:r w:rsidR="002B0115">
        <w:t xml:space="preserve">conversely, </w:t>
      </w:r>
      <w:r w:rsidR="00387F1E">
        <w:t xml:space="preserve">can certain </w:t>
      </w:r>
      <w:r w:rsidR="002930E7">
        <w:t>types</w:t>
      </w:r>
      <w:r w:rsidR="00FD30A1">
        <w:t xml:space="preserve"> </w:t>
      </w:r>
      <w:r w:rsidR="002930E7">
        <w:t xml:space="preserve">of </w:t>
      </w:r>
      <w:r w:rsidR="00FD30A1">
        <w:t xml:space="preserve">regional </w:t>
      </w:r>
      <w:r w:rsidR="007E32F7">
        <w:t xml:space="preserve">economic vitality drive </w:t>
      </w:r>
      <w:r w:rsidR="00387F1E">
        <w:t>university competitiveness</w:t>
      </w:r>
      <w:r w:rsidR="0057029F">
        <w:t xml:space="preserve"> and prestige</w:t>
      </w:r>
      <w:r w:rsidR="00387F1E">
        <w:t>?</w:t>
      </w:r>
      <w:r w:rsidR="00382A24">
        <w:t xml:space="preserve"> </w:t>
      </w:r>
      <w:r w:rsidR="002930E7">
        <w:t>This article asserts that the</w:t>
      </w:r>
      <w:r w:rsidR="00A83320">
        <w:t xml:space="preserve"> </w:t>
      </w:r>
      <w:r w:rsidR="007E13FD">
        <w:t>answer is “yes”;</w:t>
      </w:r>
      <w:r w:rsidR="00382A24">
        <w:t xml:space="preserve"> and </w:t>
      </w:r>
      <w:r w:rsidR="009B21FE">
        <w:t>accordingly</w:t>
      </w:r>
      <w:r w:rsidR="00382A24">
        <w:t>, a</w:t>
      </w:r>
      <w:r w:rsidR="000E5B7B">
        <w:t xml:space="preserve"> new </w:t>
      </w:r>
      <w:r w:rsidR="007E13FD">
        <w:t>strategic asset is</w:t>
      </w:r>
      <w:r w:rsidR="005635F2">
        <w:t xml:space="preserve"> emerging</w:t>
      </w:r>
      <w:r w:rsidR="00151DDC">
        <w:t xml:space="preserve"> </w:t>
      </w:r>
      <w:r w:rsidR="00A30DC6">
        <w:t>for</w:t>
      </w:r>
      <w:r w:rsidR="007A2701">
        <w:t xml:space="preserve"> universities – especially their</w:t>
      </w:r>
      <w:r w:rsidR="000E5B7B">
        <w:t xml:space="preserve"> </w:t>
      </w:r>
      <w:r w:rsidR="00A30DC6">
        <w:t>science, technology, engineering and math as well as business (STEM-B) programs.</w:t>
      </w:r>
      <w:r w:rsidR="000E5B7B">
        <w:t xml:space="preserve"> </w:t>
      </w:r>
      <w:r w:rsidR="00E732CC">
        <w:t xml:space="preserve">This </w:t>
      </w:r>
      <w:r w:rsidR="007E13FD">
        <w:t>strategic asset</w:t>
      </w:r>
      <w:r w:rsidR="00E732CC">
        <w:t xml:space="preserve"> is a university’s hyper-local innovation ecosystem (Hy-LIE). A university’s Hy-LIE</w:t>
      </w:r>
      <w:r w:rsidR="005635F2">
        <w:t xml:space="preserve"> is</w:t>
      </w:r>
      <w:r w:rsidR="00A816BA">
        <w:t xml:space="preserve"> its </w:t>
      </w:r>
      <w:r w:rsidR="00A30DC6">
        <w:t xml:space="preserve">readily accessible </w:t>
      </w:r>
      <w:r w:rsidR="00200D07">
        <w:t xml:space="preserve">community </w:t>
      </w:r>
      <w:r w:rsidR="00A816BA">
        <w:t>of startup</w:t>
      </w:r>
      <w:r w:rsidR="00037F62">
        <w:t xml:space="preserve"> and mature</w:t>
      </w:r>
      <w:r w:rsidR="00CB6763">
        <w:t xml:space="preserve"> companies along with entrepreneurs, mentors </w:t>
      </w:r>
      <w:r w:rsidR="00E732CC">
        <w:t xml:space="preserve">and early stage investors – </w:t>
      </w:r>
      <w:r w:rsidR="00037F62">
        <w:t>that are in the information technology, biotechnology or other applied science sectors.</w:t>
      </w:r>
      <w:r w:rsidR="00E732CC">
        <w:t xml:space="preserve"> </w:t>
      </w:r>
    </w:p>
    <w:p w14:paraId="5B642B7F" w14:textId="77777777" w:rsidR="00477AA4" w:rsidRPr="002930E7" w:rsidRDefault="00477AA4" w:rsidP="00722DFD">
      <w:pPr>
        <w:pStyle w:val="BodyText"/>
        <w:rPr>
          <w:sz w:val="16"/>
        </w:rPr>
      </w:pPr>
    </w:p>
    <w:p w14:paraId="47E00688" w14:textId="1F9C2048" w:rsidR="00222DE5" w:rsidRDefault="005635F2" w:rsidP="003C039C">
      <w:pPr>
        <w:pStyle w:val="BodyText"/>
      </w:pPr>
      <w:r>
        <w:t>Top</w:t>
      </w:r>
      <w:r w:rsidR="00097ED4">
        <w:t>-tier</w:t>
      </w:r>
      <w:r>
        <w:t xml:space="preserve"> university </w:t>
      </w:r>
      <w:r w:rsidR="00097ED4">
        <w:t xml:space="preserve">STEM-B </w:t>
      </w:r>
      <w:r>
        <w:t xml:space="preserve">programs with Hy-LIEs that have a critical mass of activity </w:t>
      </w:r>
      <w:r w:rsidR="00365692">
        <w:t>have begun</w:t>
      </w:r>
      <w:r w:rsidR="00A75381" w:rsidRPr="000502C5">
        <w:t xml:space="preserve"> to leverage this co</w:t>
      </w:r>
      <w:r w:rsidR="000502C5">
        <w:t>mpetitive asset to establish</w:t>
      </w:r>
      <w:r>
        <w:t xml:space="preserve"> </w:t>
      </w:r>
      <w:r w:rsidR="002A7FC7">
        <w:t xml:space="preserve">themselves in </w:t>
      </w:r>
      <w:r>
        <w:t xml:space="preserve">a new elite tier of </w:t>
      </w:r>
      <w:r w:rsidR="00F00DC5">
        <w:t>universities</w:t>
      </w:r>
      <w:r w:rsidR="002930E7">
        <w:t>.</w:t>
      </w:r>
      <w:r>
        <w:t xml:space="preserve"> </w:t>
      </w:r>
      <w:r w:rsidR="002930E7">
        <w:t>Consequently, t</w:t>
      </w:r>
      <w:r w:rsidR="002A7FC7">
        <w:t>hose</w:t>
      </w:r>
      <w:r w:rsidR="00A75381" w:rsidRPr="00A75381">
        <w:t xml:space="preserve"> top-tier universities with weak Hy-LIEs </w:t>
      </w:r>
      <w:r w:rsidR="00860CD0">
        <w:t xml:space="preserve">that fail to </w:t>
      </w:r>
      <w:r w:rsidR="00A75381" w:rsidRPr="00A75381">
        <w:t xml:space="preserve">address this </w:t>
      </w:r>
      <w:r w:rsidR="002930E7" w:rsidRPr="00A75381">
        <w:t>disadvantag</w:t>
      </w:r>
      <w:r w:rsidR="002930E7">
        <w:t>e</w:t>
      </w:r>
      <w:r w:rsidR="00860CD0">
        <w:t xml:space="preserve"> </w:t>
      </w:r>
      <w:r w:rsidR="00A75381" w:rsidRPr="00A75381">
        <w:t>will</w:t>
      </w:r>
      <w:r w:rsidR="0057029F">
        <w:t xml:space="preserve"> be</w:t>
      </w:r>
      <w:r w:rsidR="00A75381" w:rsidRPr="00A75381">
        <w:t xml:space="preserve"> increasingly in the unenviable position of having to downplay Hy-LIEs when competing to attract and retain top STEM-B faculty and students. Already, many top-tier universities with weak Hy-LIEs are addressing their disadvantage by either: (1) growing their own robust Hy-LIE; and/or (2) branching-out with a sister campus in the r</w:t>
      </w:r>
      <w:r w:rsidR="00A75381">
        <w:t>obust Hy-LIE of another region.</w:t>
      </w:r>
    </w:p>
    <w:p w14:paraId="786764D2" w14:textId="77777777" w:rsidR="006430A2" w:rsidRPr="00722DFD" w:rsidRDefault="006430A2">
      <w:pPr>
        <w:rPr>
          <w:sz w:val="20"/>
        </w:rPr>
      </w:pPr>
    </w:p>
    <w:p w14:paraId="3193CF31" w14:textId="79E90A52" w:rsidR="005A3999" w:rsidRDefault="004C4955" w:rsidP="00C53F07">
      <w:pPr>
        <w:pStyle w:val="BodyText"/>
      </w:pPr>
      <w:r>
        <w:t>To explore this trend, t</w:t>
      </w:r>
      <w:r w:rsidR="006430A2">
        <w:t xml:space="preserve">his article starts </w:t>
      </w:r>
      <w:r w:rsidR="0042099D">
        <w:t>by</w:t>
      </w:r>
      <w:r>
        <w:t xml:space="preserve"> </w:t>
      </w:r>
      <w:r w:rsidR="00175C60">
        <w:t xml:space="preserve">clarifying the </w:t>
      </w:r>
      <w:r w:rsidR="00DF42BF">
        <w:t>definition of a univ</w:t>
      </w:r>
      <w:r w:rsidR="0042099D">
        <w:t>ersity</w:t>
      </w:r>
      <w:r w:rsidR="00A44558">
        <w:t>’s</w:t>
      </w:r>
      <w:r w:rsidR="0042099D">
        <w:t xml:space="preserve"> Hy-LIE</w:t>
      </w:r>
      <w:r w:rsidR="0037525E">
        <w:t>,</w:t>
      </w:r>
      <w:r w:rsidR="0042099D">
        <w:t xml:space="preserve"> and follows</w:t>
      </w:r>
      <w:r w:rsidR="00DF42BF">
        <w:t xml:space="preserve"> </w:t>
      </w:r>
      <w:r w:rsidR="0042099D">
        <w:t>with</w:t>
      </w:r>
      <w:r w:rsidR="00DF42BF">
        <w:t xml:space="preserve"> an explanation of</w:t>
      </w:r>
      <w:r w:rsidR="006430A2">
        <w:t xml:space="preserve"> how a university’s Hy-LIE can </w:t>
      </w:r>
      <w:r w:rsidR="00DF42BF">
        <w:t xml:space="preserve">have a </w:t>
      </w:r>
      <w:r w:rsidR="00E06BE1">
        <w:t>strategic</w:t>
      </w:r>
      <w:r w:rsidR="00DF42BF">
        <w:t xml:space="preserve"> </w:t>
      </w:r>
      <w:r w:rsidR="006430A2">
        <w:t>impact</w:t>
      </w:r>
      <w:r w:rsidR="0037525E">
        <w:t xml:space="preserve"> on</w:t>
      </w:r>
      <w:r w:rsidR="006430A2">
        <w:t xml:space="preserve"> its </w:t>
      </w:r>
      <w:r w:rsidR="00631950">
        <w:t xml:space="preserve">STEM-B </w:t>
      </w:r>
      <w:r w:rsidR="006430A2">
        <w:t>programs</w:t>
      </w:r>
      <w:r w:rsidR="00DF42BF">
        <w:t xml:space="preserve">. </w:t>
      </w:r>
      <w:r w:rsidR="000B60E2">
        <w:t>T</w:t>
      </w:r>
      <w:r w:rsidR="00DF42BF">
        <w:t>he article</w:t>
      </w:r>
      <w:r w:rsidR="000E430B">
        <w:t xml:space="preserve"> </w:t>
      </w:r>
      <w:r w:rsidR="000B60E2">
        <w:t xml:space="preserve">then </w:t>
      </w:r>
      <w:r w:rsidR="006430A2">
        <w:t xml:space="preserve">segments </w:t>
      </w:r>
      <w:r w:rsidR="009807B7">
        <w:t>universities</w:t>
      </w:r>
      <w:r w:rsidR="00E16FE2">
        <w:t xml:space="preserve"> into four groups</w:t>
      </w:r>
      <w:r w:rsidR="000E430B">
        <w:t xml:space="preserve">, </w:t>
      </w:r>
      <w:r w:rsidR="00DF42BF">
        <w:t xml:space="preserve">and </w:t>
      </w:r>
      <w:r w:rsidR="007F3C81">
        <w:t xml:space="preserve">observes </w:t>
      </w:r>
      <w:r w:rsidR="00BF7202">
        <w:t>strategies</w:t>
      </w:r>
      <w:r w:rsidR="006430A2">
        <w:t xml:space="preserve"> </w:t>
      </w:r>
      <w:r w:rsidR="00BF7202">
        <w:t>that universities are employing to grow</w:t>
      </w:r>
      <w:r w:rsidR="005D107B">
        <w:t xml:space="preserve"> their own Hy-LIEs</w:t>
      </w:r>
      <w:r w:rsidR="007E32F7">
        <w:t xml:space="preserve">, </w:t>
      </w:r>
      <w:r w:rsidR="00BF7202">
        <w:t>as well as examples of universities that are</w:t>
      </w:r>
      <w:r w:rsidR="007E32F7">
        <w:t xml:space="preserve"> </w:t>
      </w:r>
      <w:r w:rsidR="00BF7202">
        <w:t>branching</w:t>
      </w:r>
      <w:r w:rsidR="00E16FE2">
        <w:t>-out</w:t>
      </w:r>
      <w:r w:rsidR="00BF7202">
        <w:t xml:space="preserve"> </w:t>
      </w:r>
      <w:r w:rsidR="00650EAA">
        <w:t>with second campuses in world-class</w:t>
      </w:r>
      <w:r w:rsidR="005D107B">
        <w:t xml:space="preserve"> Hy-LIEs</w:t>
      </w:r>
      <w:r w:rsidR="007E32F7">
        <w:t xml:space="preserve">. </w:t>
      </w:r>
      <w:r w:rsidR="002D5873">
        <w:t>The</w:t>
      </w:r>
      <w:r w:rsidR="00DF42BF">
        <w:t xml:space="preserve"> article</w:t>
      </w:r>
      <w:r w:rsidR="002D5873">
        <w:t xml:space="preserve"> concludes with p</w:t>
      </w:r>
      <w:r w:rsidR="00DF42BF">
        <w:t xml:space="preserve">redictions </w:t>
      </w:r>
      <w:r w:rsidR="00F20A81">
        <w:t>of how</w:t>
      </w:r>
      <w:r w:rsidR="00DF42BF">
        <w:t xml:space="preserve"> </w:t>
      </w:r>
      <w:r w:rsidR="00F7425A">
        <w:t xml:space="preserve">the emerging importance of </w:t>
      </w:r>
      <w:r w:rsidR="002D5873">
        <w:t xml:space="preserve">Hy-LIEs will influence </w:t>
      </w:r>
      <w:r w:rsidR="00A44558">
        <w:t>universities</w:t>
      </w:r>
      <w:r w:rsidR="000E430B">
        <w:t>.</w:t>
      </w:r>
    </w:p>
    <w:p w14:paraId="0E804ADE" w14:textId="77777777" w:rsidR="00792365" w:rsidRDefault="00792365" w:rsidP="00C53F07">
      <w:pPr>
        <w:pStyle w:val="BodyText"/>
      </w:pPr>
    </w:p>
    <w:p w14:paraId="1E56E6B6" w14:textId="77777777" w:rsidR="008B04BC" w:rsidRDefault="008B04B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AC4E5BC" w14:textId="62B03E67" w:rsidR="00792365" w:rsidRDefault="002A7E27" w:rsidP="00F20A81">
      <w:pPr>
        <w:pStyle w:val="Heading1"/>
      </w:pPr>
      <w:r>
        <w:lastRenderedPageBreak/>
        <w:t>Hy-LIE</w:t>
      </w:r>
      <w:r w:rsidR="00063F44">
        <w:t xml:space="preserve"> Definition</w:t>
      </w:r>
    </w:p>
    <w:p w14:paraId="1EAE5B41" w14:textId="77777777" w:rsidR="00792365" w:rsidRDefault="00792365"/>
    <w:p w14:paraId="21EF8D21" w14:textId="71843018" w:rsidR="00947D43" w:rsidRDefault="00AF36FF" w:rsidP="004C5C03">
      <w:pPr>
        <w:pStyle w:val="BodyText"/>
      </w:pPr>
      <w:r>
        <w:t>A univer</w:t>
      </w:r>
      <w:r w:rsidR="00D06950">
        <w:t xml:space="preserve">sity’s </w:t>
      </w:r>
      <w:r w:rsidR="00621566">
        <w:t xml:space="preserve">innovation ecosystem </w:t>
      </w:r>
      <w:r w:rsidR="003D2F85">
        <w:t>envelops</w:t>
      </w:r>
      <w:r w:rsidR="00621566">
        <w:t xml:space="preserve"> its </w:t>
      </w:r>
      <w:r w:rsidR="004C5C03">
        <w:t xml:space="preserve">own </w:t>
      </w:r>
      <w:r w:rsidR="003D2F85">
        <w:t xml:space="preserve">campus people, </w:t>
      </w:r>
      <w:r w:rsidR="00832354">
        <w:t xml:space="preserve">organizations, </w:t>
      </w:r>
      <w:r w:rsidR="00C50063">
        <w:t>programs</w:t>
      </w:r>
      <w:r w:rsidR="003D2F85">
        <w:t xml:space="preserve"> </w:t>
      </w:r>
      <w:r w:rsidR="00832354">
        <w:t>a</w:t>
      </w:r>
      <w:r w:rsidR="003D2F85">
        <w:t xml:space="preserve">nd resources as well as those that </w:t>
      </w:r>
      <w:r w:rsidR="000B7F3A">
        <w:t xml:space="preserve">are </w:t>
      </w:r>
      <w:r w:rsidR="00FD7FEE">
        <w:t xml:space="preserve">independent of the university – yet </w:t>
      </w:r>
      <w:r w:rsidR="003D2F85">
        <w:t>readily accessible to the campus. This article defines the latter as a university’</w:t>
      </w:r>
      <w:r w:rsidR="004C5C03">
        <w:t xml:space="preserve">s </w:t>
      </w:r>
      <w:r w:rsidR="000B7F3A">
        <w:t>Hy-LIE. A u</w:t>
      </w:r>
      <w:r w:rsidR="004C5C03">
        <w:t xml:space="preserve">niversity’s Hy-LIEs is measured by </w:t>
      </w:r>
      <w:r w:rsidR="00897C71">
        <w:t xml:space="preserve">the extent of </w:t>
      </w:r>
      <w:r w:rsidR="004C5C03">
        <w:t xml:space="preserve">its </w:t>
      </w:r>
      <w:r w:rsidR="00D15603">
        <w:t xml:space="preserve">readily accessible </w:t>
      </w:r>
      <w:r>
        <w:t xml:space="preserve">cluster </w:t>
      </w:r>
      <w:r w:rsidR="00D11A88">
        <w:t>of</w:t>
      </w:r>
      <w:r w:rsidR="00947D43">
        <w:t xml:space="preserve"> the following</w:t>
      </w:r>
      <w:r w:rsidR="00695850">
        <w:t xml:space="preserve"> entities that are in the information technology, biotechnology </w:t>
      </w:r>
      <w:r w:rsidR="003B7EB1">
        <w:t>or other applied science sectors</w:t>
      </w:r>
      <w:r w:rsidR="00947D43">
        <w:t>:</w:t>
      </w:r>
      <w:r w:rsidR="00D11A88">
        <w:t xml:space="preserve"> </w:t>
      </w:r>
    </w:p>
    <w:p w14:paraId="7E05ED85" w14:textId="4A4C1809" w:rsidR="00947D43" w:rsidRDefault="007261E5" w:rsidP="00D50053">
      <w:pPr>
        <w:pStyle w:val="ListBullet"/>
      </w:pPr>
      <w:r>
        <w:t>Startup, midsize and</w:t>
      </w:r>
      <w:r w:rsidR="00947D43">
        <w:t xml:space="preserve"> large companies – including R&amp;D lab</w:t>
      </w:r>
      <w:r w:rsidR="00722045">
        <w:t>s of diversified companies</w:t>
      </w:r>
      <w:r w:rsidR="00650EAA">
        <w:t>;</w:t>
      </w:r>
      <w:r w:rsidR="00AF36FF">
        <w:t xml:space="preserve"> </w:t>
      </w:r>
    </w:p>
    <w:p w14:paraId="447612E8" w14:textId="77777777" w:rsidR="00947D43" w:rsidRDefault="008F71A0" w:rsidP="00AC2B1A">
      <w:pPr>
        <w:pStyle w:val="ListBullet"/>
      </w:pPr>
      <w:r>
        <w:t>Entrepreneurs – especially experienced</w:t>
      </w:r>
      <w:r w:rsidR="00565E8E">
        <w:t>,</w:t>
      </w:r>
      <w:r>
        <w:t xml:space="preserve"> serial entrepreneurs;</w:t>
      </w:r>
    </w:p>
    <w:p w14:paraId="00C03769" w14:textId="5882690E" w:rsidR="00947D43" w:rsidRDefault="00722045" w:rsidP="00AC2B1A">
      <w:pPr>
        <w:pStyle w:val="ListBullet"/>
      </w:pPr>
      <w:r>
        <w:t xml:space="preserve">Early stage investors – including </w:t>
      </w:r>
      <w:r w:rsidR="00B046C9">
        <w:t xml:space="preserve">individual </w:t>
      </w:r>
      <w:r w:rsidR="00AF36FF">
        <w:t>angel</w:t>
      </w:r>
      <w:r w:rsidR="00E70961">
        <w:t>s</w:t>
      </w:r>
      <w:r w:rsidR="00AF36FF">
        <w:t>,</w:t>
      </w:r>
      <w:r w:rsidR="00947D43">
        <w:t xml:space="preserve"> angel investor groups,</w:t>
      </w:r>
      <w:r w:rsidR="00E70961">
        <w:t xml:space="preserve"> venture capi</w:t>
      </w:r>
      <w:r w:rsidR="00700F24">
        <w:t xml:space="preserve">tal firms and corporate investment </w:t>
      </w:r>
      <w:r w:rsidR="00057144">
        <w:t>divisions</w:t>
      </w:r>
      <w:r w:rsidR="00282452">
        <w:t>;</w:t>
      </w:r>
    </w:p>
    <w:p w14:paraId="691A648D" w14:textId="77777777" w:rsidR="00282452" w:rsidRDefault="00282452" w:rsidP="00AC2B1A">
      <w:pPr>
        <w:pStyle w:val="ListBullet"/>
      </w:pPr>
      <w:r>
        <w:t>Startup inc</w:t>
      </w:r>
      <w:r w:rsidR="008F71A0">
        <w:t>ubator</w:t>
      </w:r>
      <w:r w:rsidR="00136505">
        <w:t>s</w:t>
      </w:r>
      <w:r w:rsidR="008F71A0">
        <w:t xml:space="preserve"> and accelerator</w:t>
      </w:r>
      <w:r w:rsidR="00136505">
        <w:t>s,</w:t>
      </w:r>
      <w:r w:rsidR="008F71A0">
        <w:t xml:space="preserve"> </w:t>
      </w:r>
      <w:r w:rsidR="003E7202">
        <w:t>along with</w:t>
      </w:r>
      <w:r w:rsidR="008F71A0">
        <w:t xml:space="preserve"> </w:t>
      </w:r>
      <w:r w:rsidR="00612F34">
        <w:t xml:space="preserve">related </w:t>
      </w:r>
      <w:r w:rsidR="003E7202">
        <w:t xml:space="preserve">mentor networks comprised of successful </w:t>
      </w:r>
      <w:r w:rsidR="00612F34">
        <w:t>industry veteran</w:t>
      </w:r>
      <w:r w:rsidR="003E7202">
        <w:t>s</w:t>
      </w:r>
      <w:r w:rsidR="008F71A0">
        <w:t>.</w:t>
      </w:r>
    </w:p>
    <w:p w14:paraId="349051E9" w14:textId="77777777" w:rsidR="00B046C9" w:rsidRDefault="00B046C9" w:rsidP="00947D43"/>
    <w:p w14:paraId="1FA33109" w14:textId="04CB14C5" w:rsidR="00AF36FF" w:rsidRDefault="00240F71" w:rsidP="00D27F14">
      <w:pPr>
        <w:pStyle w:val="BodyText"/>
      </w:pPr>
      <w:r>
        <w:t>A university’s Hy-LIE</w:t>
      </w:r>
      <w:r w:rsidR="000E1325">
        <w:t xml:space="preserve"> is not </w:t>
      </w:r>
      <w:r w:rsidR="00D11A88">
        <w:t>simply</w:t>
      </w:r>
      <w:r w:rsidR="00D710E7">
        <w:t xml:space="preserve"> defined by </w:t>
      </w:r>
      <w:r w:rsidR="00E165E9">
        <w:t>close proximity</w:t>
      </w:r>
      <w:r w:rsidR="00B109AA">
        <w:t xml:space="preserve"> to the campus</w:t>
      </w:r>
      <w:r w:rsidR="00D710E7">
        <w:t xml:space="preserve">, but is </w:t>
      </w:r>
      <w:r w:rsidR="0048254E">
        <w:t>also</w:t>
      </w:r>
      <w:r w:rsidR="00D710E7">
        <w:t xml:space="preserve"> characterized</w:t>
      </w:r>
      <w:r w:rsidR="00B109AA">
        <w:t xml:space="preserve"> by accessibility to the campus</w:t>
      </w:r>
      <w:r w:rsidR="00B2006D">
        <w:t xml:space="preserve"> (Figure 1)</w:t>
      </w:r>
      <w:r w:rsidR="00B109AA">
        <w:t xml:space="preserve">. Accessibility </w:t>
      </w:r>
      <w:r w:rsidR="00E165E9">
        <w:t>includes</w:t>
      </w:r>
      <w:r w:rsidR="006C4926">
        <w:t xml:space="preserve"> the extent to which the following are viable: (1) walking and biking</w:t>
      </w:r>
      <w:r w:rsidR="000E1325">
        <w:t xml:space="preserve"> (often determined by climate and topology</w:t>
      </w:r>
      <w:r w:rsidR="00224859">
        <w:t xml:space="preserve"> as well as distance</w:t>
      </w:r>
      <w:r w:rsidR="000E1325">
        <w:t xml:space="preserve">), </w:t>
      </w:r>
      <w:r w:rsidR="00311303">
        <w:t xml:space="preserve">(2) mass transit – especially </w:t>
      </w:r>
      <w:r w:rsidR="00447560">
        <w:t xml:space="preserve">free </w:t>
      </w:r>
      <w:r w:rsidR="00596D8B">
        <w:t>university shuttles</w:t>
      </w:r>
      <w:r w:rsidR="006C4926">
        <w:t>, and (3) driving (often determined by traffic as well as parking)</w:t>
      </w:r>
      <w:r w:rsidR="00812D12">
        <w:t xml:space="preserve">. </w:t>
      </w:r>
    </w:p>
    <w:p w14:paraId="529CF47E" w14:textId="77777777" w:rsidR="00224859" w:rsidRDefault="00224859" w:rsidP="00D27F14">
      <w:pPr>
        <w:pStyle w:val="BodyText"/>
      </w:pPr>
    </w:p>
    <w:p w14:paraId="6A5C77E3" w14:textId="77777777" w:rsidR="00224859" w:rsidRDefault="00BF1965" w:rsidP="00D27F14">
      <w:pPr>
        <w:pStyle w:val="BodyText"/>
      </w:pPr>
      <w:r>
        <w:t>In addition to gradations of accessibility to its campus, a u</w:t>
      </w:r>
      <w:r w:rsidR="00D02ADC">
        <w:t>niversity</w:t>
      </w:r>
      <w:r>
        <w:t>’s</w:t>
      </w:r>
      <w:r w:rsidR="003D0ED8">
        <w:t xml:space="preserve"> Hy-LIEs can </w:t>
      </w:r>
      <w:r w:rsidR="00D02ADC">
        <w:t>have a variety of distinguishing characteristics such a</w:t>
      </w:r>
      <w:r w:rsidR="00F91553">
        <w:t>s</w:t>
      </w:r>
      <w:r w:rsidR="00D02ADC">
        <w:t xml:space="preserve"> </w:t>
      </w:r>
      <w:r w:rsidR="00D17DBD">
        <w:t xml:space="preserve">the </w:t>
      </w:r>
      <w:r w:rsidR="00311303">
        <w:t>quantity</w:t>
      </w:r>
      <w:r w:rsidR="00D17DBD">
        <w:t xml:space="preserve">, </w:t>
      </w:r>
      <w:r w:rsidR="00311303">
        <w:t xml:space="preserve">quality, </w:t>
      </w:r>
      <w:r w:rsidR="00D17DBD">
        <w:t>density and composition</w:t>
      </w:r>
      <w:r w:rsidR="00323397">
        <w:t xml:space="preserve"> of entities. For example, some Hy-LIEs </w:t>
      </w:r>
      <w:r w:rsidR="00311303">
        <w:t>have a high percentage</w:t>
      </w:r>
      <w:r w:rsidR="009218B2">
        <w:t xml:space="preserve"> of info</w:t>
      </w:r>
      <w:r w:rsidR="00B2006D">
        <w:t>rmation</w:t>
      </w:r>
      <w:r w:rsidR="00323397">
        <w:t xml:space="preserve"> tech</w:t>
      </w:r>
      <w:r w:rsidR="00B2006D">
        <w:t>nology</w:t>
      </w:r>
      <w:r w:rsidR="009218B2">
        <w:t xml:space="preserve"> companies </w:t>
      </w:r>
      <w:r w:rsidR="00963A51">
        <w:t>(</w:t>
      </w:r>
      <w:r w:rsidR="00F91553">
        <w:t>UT Austin</w:t>
      </w:r>
      <w:r w:rsidR="00963A51">
        <w:t>)</w:t>
      </w:r>
      <w:r w:rsidR="00B4232D">
        <w:t>,</w:t>
      </w:r>
      <w:r w:rsidR="00963A51">
        <w:t xml:space="preserve"> </w:t>
      </w:r>
      <w:r w:rsidR="00FF64BA">
        <w:t xml:space="preserve">and others </w:t>
      </w:r>
      <w:r w:rsidR="00963A51">
        <w:t>have a preponderance of</w:t>
      </w:r>
      <w:r w:rsidR="009218B2">
        <w:t xml:space="preserve"> bio</w:t>
      </w:r>
      <w:r w:rsidR="00323397">
        <w:t xml:space="preserve">tech </w:t>
      </w:r>
      <w:r w:rsidR="009218B2">
        <w:t>companies</w:t>
      </w:r>
      <w:r w:rsidR="00963A51">
        <w:t xml:space="preserve"> (</w:t>
      </w:r>
      <w:r w:rsidR="00F91553">
        <w:t xml:space="preserve">UC </w:t>
      </w:r>
      <w:r w:rsidR="00963A51">
        <w:t>San Diego-Scripps)</w:t>
      </w:r>
      <w:r w:rsidR="009218B2">
        <w:t>;</w:t>
      </w:r>
      <w:r w:rsidR="00323397">
        <w:t xml:space="preserve"> </w:t>
      </w:r>
      <w:r w:rsidR="0077587F">
        <w:t xml:space="preserve">while </w:t>
      </w:r>
      <w:r w:rsidR="00323397">
        <w:t xml:space="preserve">some </w:t>
      </w:r>
      <w:r w:rsidR="00963A51">
        <w:t xml:space="preserve">are dominated by </w:t>
      </w:r>
      <w:r w:rsidR="00FF64BA">
        <w:t xml:space="preserve">startups </w:t>
      </w:r>
      <w:r w:rsidR="00963A51">
        <w:t>(UC Berkeley</w:t>
      </w:r>
      <w:r w:rsidR="00F91553">
        <w:t>-Lawrence Berkeley National Lab</w:t>
      </w:r>
      <w:r w:rsidR="00E94F99">
        <w:t xml:space="preserve">) </w:t>
      </w:r>
      <w:r w:rsidR="00FF64BA">
        <w:t xml:space="preserve">and others </w:t>
      </w:r>
      <w:r w:rsidR="00963A51">
        <w:t>have a majority of</w:t>
      </w:r>
      <w:r w:rsidR="00323397">
        <w:t xml:space="preserve"> </w:t>
      </w:r>
      <w:r w:rsidR="000F6D7A">
        <w:t>mature</w:t>
      </w:r>
      <w:r w:rsidR="00323397">
        <w:t xml:space="preserve"> companies</w:t>
      </w:r>
      <w:r w:rsidR="00963A51">
        <w:t xml:space="preserve"> (</w:t>
      </w:r>
      <w:r w:rsidR="00F91553">
        <w:t>Duke-UNC</w:t>
      </w:r>
      <w:r w:rsidR="00963A51">
        <w:t>)</w:t>
      </w:r>
      <w:r w:rsidR="00D02ADC">
        <w:t>.</w:t>
      </w:r>
    </w:p>
    <w:p w14:paraId="6DD0421A" w14:textId="77777777" w:rsidR="006B4428" w:rsidRDefault="006B4428" w:rsidP="00D27F14">
      <w:pPr>
        <w:pStyle w:val="BodyText"/>
      </w:pPr>
    </w:p>
    <w:p w14:paraId="787031CD" w14:textId="77777777" w:rsidR="00633A99" w:rsidRDefault="00633A99"/>
    <w:p w14:paraId="13AA193E" w14:textId="77777777" w:rsidR="00CA2D29" w:rsidRDefault="00CA2D29"/>
    <w:p w14:paraId="28530316" w14:textId="77777777" w:rsidR="00CA2D29" w:rsidRDefault="00CA2D29"/>
    <w:p w14:paraId="03338CB9" w14:textId="77777777" w:rsidR="00633A99" w:rsidRDefault="00633A99"/>
    <w:p w14:paraId="6BAA436F" w14:textId="77777777" w:rsidR="00633A99" w:rsidRDefault="00633A99"/>
    <w:p w14:paraId="7DE9FC4C" w14:textId="77777777" w:rsidR="00A6244E" w:rsidRDefault="00A6244E"/>
    <w:p w14:paraId="6208A5BA" w14:textId="77777777" w:rsidR="00737D46" w:rsidRDefault="008D0116" w:rsidP="00282EAD">
      <w:pPr>
        <w:jc w:val="center"/>
        <w:rPr>
          <w:b/>
        </w:rPr>
      </w:pPr>
      <w:r w:rsidRPr="00282EAD">
        <w:rPr>
          <w:b/>
        </w:rPr>
        <w:lastRenderedPageBreak/>
        <w:t>Figure 1</w:t>
      </w:r>
      <w:r w:rsidR="00282EAD">
        <w:rPr>
          <w:b/>
        </w:rPr>
        <w:t xml:space="preserve">: </w:t>
      </w:r>
      <w:r w:rsidRPr="00282EAD">
        <w:rPr>
          <w:b/>
        </w:rPr>
        <w:t xml:space="preserve"> Hy-LIE</w:t>
      </w:r>
      <w:r w:rsidR="00202957" w:rsidRPr="00282EAD">
        <w:rPr>
          <w:b/>
        </w:rPr>
        <w:t xml:space="preserve"> </w:t>
      </w:r>
      <w:r w:rsidR="00282EAD" w:rsidRPr="00282EAD">
        <w:rPr>
          <w:b/>
        </w:rPr>
        <w:t>Continuum</w:t>
      </w:r>
    </w:p>
    <w:p w14:paraId="00CAC949" w14:textId="77777777" w:rsidR="00595FE8" w:rsidRPr="00633A99" w:rsidRDefault="00595FE8" w:rsidP="00282EAD">
      <w:pPr>
        <w:jc w:val="center"/>
        <w:rPr>
          <w:b/>
          <w:sz w:val="16"/>
        </w:rPr>
      </w:pPr>
    </w:p>
    <w:p w14:paraId="7E989A88" w14:textId="77777777" w:rsidR="00633A99" w:rsidRDefault="00282EAD">
      <w:r w:rsidRPr="00282EAD">
        <w:rPr>
          <w:noProof/>
        </w:rPr>
        <w:drawing>
          <wp:inline distT="0" distB="0" distL="0" distR="0" wp14:anchorId="5C4308F9" wp14:editId="12BC1658">
            <wp:extent cx="5713730" cy="3169920"/>
            <wp:effectExtent l="50800" t="25400" r="266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16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D4945" w14:textId="77777777" w:rsidR="00595FE8" w:rsidRDefault="00595FE8"/>
    <w:p w14:paraId="5EA0B6CE" w14:textId="51B9C5F3" w:rsidR="00C06EA0" w:rsidRDefault="002A7E27" w:rsidP="00754434">
      <w:pPr>
        <w:pStyle w:val="Heading1"/>
      </w:pPr>
      <w:r>
        <w:t xml:space="preserve">Hy-LIE </w:t>
      </w:r>
      <w:r w:rsidR="006F020C">
        <w:t xml:space="preserve">Value to </w:t>
      </w:r>
      <w:r>
        <w:t xml:space="preserve">a University’s </w:t>
      </w:r>
      <w:r w:rsidR="00A03780">
        <w:t xml:space="preserve">STEM-B </w:t>
      </w:r>
      <w:r>
        <w:t>Programs</w:t>
      </w:r>
    </w:p>
    <w:p w14:paraId="5691D566" w14:textId="77777777" w:rsidR="002A7E27" w:rsidRPr="00311303" w:rsidRDefault="002A7E27">
      <w:pPr>
        <w:rPr>
          <w:sz w:val="12"/>
        </w:rPr>
      </w:pPr>
    </w:p>
    <w:p w14:paraId="33B49EB8" w14:textId="5EEBE0A7" w:rsidR="009B00D2" w:rsidRDefault="00311303" w:rsidP="00B4232D">
      <w:pPr>
        <w:pStyle w:val="BodyText"/>
      </w:pPr>
      <w:r>
        <w:t>A u</w:t>
      </w:r>
      <w:r w:rsidR="003E4DDE">
        <w:t xml:space="preserve">niversity that has </w:t>
      </w:r>
      <w:r w:rsidR="00F30DDE">
        <w:t xml:space="preserve">helped </w:t>
      </w:r>
      <w:r w:rsidR="00C9769F">
        <w:t>spawn</w:t>
      </w:r>
      <w:r w:rsidR="00DD5C89">
        <w:t xml:space="preserve"> a robust Hy-LIE</w:t>
      </w:r>
      <w:r w:rsidR="003E4DDE">
        <w:t xml:space="preserve"> can be credited with</w:t>
      </w:r>
      <w:r w:rsidR="00F30DDE">
        <w:t xml:space="preserve"> helping to drive</w:t>
      </w:r>
      <w:r w:rsidR="00C9769F">
        <w:t xml:space="preserve"> </w:t>
      </w:r>
      <w:r w:rsidR="00FF6F29">
        <w:t xml:space="preserve">its </w:t>
      </w:r>
      <w:r w:rsidR="00C9769F">
        <w:t xml:space="preserve">regional </w:t>
      </w:r>
      <w:r w:rsidR="00F30DDE">
        <w:t>economic vitality</w:t>
      </w:r>
      <w:r w:rsidR="00C9769F">
        <w:t xml:space="preserve"> </w:t>
      </w:r>
      <w:r w:rsidR="003E4DDE">
        <w:t xml:space="preserve"> – and accordingly, t</w:t>
      </w:r>
      <w:r w:rsidR="002A7E27">
        <w:t xml:space="preserve">he conventional mindset is that </w:t>
      </w:r>
      <w:r w:rsidR="00FA2822">
        <w:t xml:space="preserve">the beneficiary of </w:t>
      </w:r>
      <w:r w:rsidR="00F30DDE">
        <w:t xml:space="preserve">a university with a </w:t>
      </w:r>
      <w:r w:rsidR="00FA2822">
        <w:t>robust Hy-LIEs is th</w:t>
      </w:r>
      <w:r w:rsidR="00F30DDE">
        <w:t xml:space="preserve">at university’s </w:t>
      </w:r>
      <w:r w:rsidR="00191511">
        <w:t xml:space="preserve">regional </w:t>
      </w:r>
      <w:r w:rsidR="00E94F99">
        <w:t>community</w:t>
      </w:r>
      <w:r w:rsidR="00872203">
        <w:t xml:space="preserve">. </w:t>
      </w:r>
    </w:p>
    <w:p w14:paraId="3339CB91" w14:textId="77777777" w:rsidR="009B00D2" w:rsidRPr="00633A99" w:rsidRDefault="009B00D2" w:rsidP="00B4232D">
      <w:pPr>
        <w:pStyle w:val="BodyText"/>
        <w:rPr>
          <w:sz w:val="16"/>
        </w:rPr>
      </w:pPr>
    </w:p>
    <w:p w14:paraId="7BCDF7EF" w14:textId="6713BA97" w:rsidR="0057029F" w:rsidRDefault="00F30DDE" w:rsidP="00A61086">
      <w:pPr>
        <w:pStyle w:val="BodyText"/>
      </w:pPr>
      <w:r>
        <w:t xml:space="preserve">However, </w:t>
      </w:r>
      <w:r w:rsidR="00872203">
        <w:t xml:space="preserve">a university’s Hy-LIE can also result in </w:t>
      </w:r>
      <w:r w:rsidR="00841C2D">
        <w:t>many</w:t>
      </w:r>
      <w:r>
        <w:t xml:space="preserve"> benefits </w:t>
      </w:r>
      <w:r w:rsidR="00872203">
        <w:t>that</w:t>
      </w:r>
      <w:r>
        <w:t xml:space="preserve"> accrue to the university </w:t>
      </w:r>
      <w:r w:rsidR="00A61086">
        <w:t xml:space="preserve">itself </w:t>
      </w:r>
      <w:r>
        <w:t xml:space="preserve">– particularly its </w:t>
      </w:r>
      <w:r w:rsidR="00A03780">
        <w:t xml:space="preserve">STEM-B </w:t>
      </w:r>
      <w:r>
        <w:t xml:space="preserve">programs. </w:t>
      </w:r>
      <w:r w:rsidR="00187CCB">
        <w:t xml:space="preserve">These benefits include </w:t>
      </w:r>
      <w:r w:rsidR="002C2FA9">
        <w:t>additional opportunities for</w:t>
      </w:r>
      <w:r w:rsidR="00187CCB">
        <w:t>:</w:t>
      </w:r>
      <w:r w:rsidR="00A61086">
        <w:t xml:space="preserve"> </w:t>
      </w:r>
    </w:p>
    <w:p w14:paraId="4601AFD0" w14:textId="432B8D72" w:rsidR="0057029F" w:rsidRDefault="00A61086" w:rsidP="00A61086">
      <w:pPr>
        <w:pStyle w:val="BodyText"/>
      </w:pPr>
      <w:r>
        <w:t>(</w:t>
      </w:r>
      <w:r w:rsidR="00FE3542">
        <w:t>1</w:t>
      </w:r>
      <w:r>
        <w:t xml:space="preserve">) </w:t>
      </w:r>
      <w:r w:rsidR="00DE4086">
        <w:t>Experiential</w:t>
      </w:r>
      <w:r>
        <w:t xml:space="preserve"> learning projects for students, and case studies for faculty; </w:t>
      </w:r>
    </w:p>
    <w:p w14:paraId="48F31DE0" w14:textId="7E8FCDB6" w:rsidR="0057029F" w:rsidRDefault="00A61086" w:rsidP="00A61086">
      <w:pPr>
        <w:pStyle w:val="BodyText"/>
      </w:pPr>
      <w:r>
        <w:t>(</w:t>
      </w:r>
      <w:r w:rsidR="00FE3542">
        <w:t>2</w:t>
      </w:r>
      <w:r>
        <w:t xml:space="preserve">) </w:t>
      </w:r>
      <w:r w:rsidR="00DE4086">
        <w:t>Careers</w:t>
      </w:r>
      <w:r>
        <w:t xml:space="preserve">, internships, and summer jobs for students; </w:t>
      </w:r>
    </w:p>
    <w:p w14:paraId="44E8161C" w14:textId="6F98FBF2" w:rsidR="0057029F" w:rsidRDefault="00A61086" w:rsidP="00A61086">
      <w:pPr>
        <w:pStyle w:val="BodyText"/>
      </w:pPr>
      <w:r>
        <w:t>(</w:t>
      </w:r>
      <w:r w:rsidR="00FE3542">
        <w:t>3</w:t>
      </w:r>
      <w:r>
        <w:t xml:space="preserve">) </w:t>
      </w:r>
      <w:r w:rsidR="00DE4086">
        <w:t>Advisory</w:t>
      </w:r>
      <w:r w:rsidR="00FE3542">
        <w:t xml:space="preserve">, </w:t>
      </w:r>
      <w:r>
        <w:t>board</w:t>
      </w:r>
      <w:r w:rsidR="00FE3542">
        <w:t>,</w:t>
      </w:r>
      <w:r>
        <w:t xml:space="preserve"> consulting</w:t>
      </w:r>
      <w:r w:rsidR="00FE3542">
        <w:t xml:space="preserve"> and startup co-founder</w:t>
      </w:r>
      <w:r>
        <w:t xml:space="preserve"> roles for faculty; </w:t>
      </w:r>
    </w:p>
    <w:p w14:paraId="54A904D2" w14:textId="219D9618" w:rsidR="0057029F" w:rsidRDefault="00A61086" w:rsidP="00A61086">
      <w:pPr>
        <w:pStyle w:val="BodyText"/>
      </w:pPr>
      <w:r>
        <w:t>(</w:t>
      </w:r>
      <w:r w:rsidR="00FE3542">
        <w:t>4</w:t>
      </w:r>
      <w:r>
        <w:t xml:space="preserve">) </w:t>
      </w:r>
      <w:r w:rsidR="00DE4086">
        <w:t>Campus</w:t>
      </w:r>
      <w:r>
        <w:t xml:space="preserve">-based visiting industry fellows and entrepreneurs-in-residence; </w:t>
      </w:r>
    </w:p>
    <w:p w14:paraId="4D2A78B3" w14:textId="06D11784" w:rsidR="0057029F" w:rsidRDefault="00A61086" w:rsidP="00A61086">
      <w:pPr>
        <w:pStyle w:val="BodyText"/>
      </w:pPr>
      <w:r>
        <w:t>(</w:t>
      </w:r>
      <w:r w:rsidR="00FE3542">
        <w:t>5</w:t>
      </w:r>
      <w:r>
        <w:t xml:space="preserve">) </w:t>
      </w:r>
      <w:r w:rsidR="00DE4086">
        <w:t>Relationship</w:t>
      </w:r>
      <w:r>
        <w:t>-building with successful alumni</w:t>
      </w:r>
      <w:r w:rsidR="00447560">
        <w:t xml:space="preserve"> (that can lead to more philanthrop</w:t>
      </w:r>
      <w:r w:rsidR="0057029F">
        <w:t>y</w:t>
      </w:r>
      <w:r w:rsidR="00447560">
        <w:t xml:space="preserve">); </w:t>
      </w:r>
    </w:p>
    <w:p w14:paraId="094E1E72" w14:textId="26AE8A07" w:rsidR="0057029F" w:rsidRDefault="00FE3542" w:rsidP="00A61086">
      <w:pPr>
        <w:pStyle w:val="BodyText"/>
      </w:pPr>
      <w:r>
        <w:t xml:space="preserve">(6) </w:t>
      </w:r>
      <w:r w:rsidR="00DE4086">
        <w:t>Corporate</w:t>
      </w:r>
      <w:r>
        <w:t xml:space="preserve"> sponsored university research – including collaborations with startup companies via federally funded STTR and SBIR programs; </w:t>
      </w:r>
      <w:r w:rsidR="00447560">
        <w:t xml:space="preserve">as well as </w:t>
      </w:r>
    </w:p>
    <w:p w14:paraId="3EE6DE96" w14:textId="2BCEBC1A" w:rsidR="0057029F" w:rsidRDefault="00447560" w:rsidP="00A61086">
      <w:pPr>
        <w:pStyle w:val="BodyText"/>
      </w:pPr>
      <w:r>
        <w:t xml:space="preserve">(7) </w:t>
      </w:r>
      <w:r w:rsidR="00DE4086">
        <w:t>Financial</w:t>
      </w:r>
      <w:r>
        <w:t xml:space="preserve"> support – if </w:t>
      </w:r>
      <w:r w:rsidR="00DF5E41">
        <w:t>a</w:t>
      </w:r>
      <w:r>
        <w:t xml:space="preserve"> university takes stock equity positions in spinouts that it </w:t>
      </w:r>
      <w:r w:rsidR="00DF5E41">
        <w:t>fosters</w:t>
      </w:r>
      <w:r w:rsidR="00A5245F">
        <w:t xml:space="preserve"> via startup accelerators and other resources</w:t>
      </w:r>
      <w:r>
        <w:t>.</w:t>
      </w:r>
      <w:r w:rsidR="00A61086">
        <w:t xml:space="preserve"> </w:t>
      </w:r>
    </w:p>
    <w:p w14:paraId="014FF6D6" w14:textId="3512ECCA" w:rsidR="00A61086" w:rsidRDefault="00A61086" w:rsidP="00A61086">
      <w:pPr>
        <w:pStyle w:val="BodyText"/>
      </w:pPr>
      <w:r>
        <w:lastRenderedPageBreak/>
        <w:t xml:space="preserve">In addition to those </w:t>
      </w:r>
      <w:r w:rsidR="00447560">
        <w:t>seven</w:t>
      </w:r>
      <w:r>
        <w:t xml:space="preserve"> </w:t>
      </w:r>
      <w:r w:rsidR="00A5245F">
        <w:t xml:space="preserve">straightforward </w:t>
      </w:r>
      <w:r>
        <w:t xml:space="preserve">benefits, a robust Hy-LIE can also provide the following three </w:t>
      </w:r>
      <w:r w:rsidR="00A5245F">
        <w:t xml:space="preserve">subtle </w:t>
      </w:r>
      <w:r w:rsidR="00DE4086">
        <w:t xml:space="preserve">but important </w:t>
      </w:r>
      <w:r>
        <w:t>benefits to its university.</w:t>
      </w:r>
    </w:p>
    <w:p w14:paraId="77575E0E" w14:textId="77777777" w:rsidR="00FE3542" w:rsidRDefault="00FE3542" w:rsidP="00A61086">
      <w:pPr>
        <w:pStyle w:val="BodyText"/>
      </w:pPr>
    </w:p>
    <w:p w14:paraId="2C625A08" w14:textId="45F24683" w:rsidR="00B7407D" w:rsidRDefault="00A61086" w:rsidP="006F23F1">
      <w:pPr>
        <w:pStyle w:val="BodyText"/>
      </w:pPr>
      <w:r w:rsidRPr="00A61086">
        <w:rPr>
          <w:color w:val="000090"/>
          <w:u w:val="single"/>
        </w:rPr>
        <w:t>Commercialization of University Technologies</w:t>
      </w:r>
      <w:r>
        <w:t xml:space="preserve">: </w:t>
      </w:r>
      <w:r w:rsidR="00490798">
        <w:t xml:space="preserve">The activities that facilitate the commercialization of university innovations can be divided into two categories (Figure 2): </w:t>
      </w:r>
      <w:r w:rsidR="001C1FF5">
        <w:t xml:space="preserve">(a) </w:t>
      </w:r>
      <w:r w:rsidR="00490798">
        <w:t>activities that a university’s administration systematically pursues such as patenting</w:t>
      </w:r>
      <w:r w:rsidR="0080072C">
        <w:t>, marketing</w:t>
      </w:r>
      <w:r w:rsidR="00490798">
        <w:t xml:space="preserve"> and licensing intellectual property; and </w:t>
      </w:r>
      <w:r w:rsidR="001C1FF5">
        <w:t xml:space="preserve">(b) </w:t>
      </w:r>
      <w:r w:rsidR="00490798">
        <w:t xml:space="preserve">activities that a university’s Hy-LIE organically provides such as </w:t>
      </w:r>
      <w:r w:rsidR="002834BB">
        <w:t xml:space="preserve">product </w:t>
      </w:r>
      <w:r w:rsidR="00160E2E">
        <w:t>ideation,</w:t>
      </w:r>
      <w:r w:rsidR="002834BB">
        <w:t xml:space="preserve"> and the </w:t>
      </w:r>
      <w:r w:rsidR="00490798">
        <w:t>vetting, mentoring, st</w:t>
      </w:r>
      <w:r>
        <w:t>affing</w:t>
      </w:r>
      <w:r w:rsidR="00490798">
        <w:t xml:space="preserve"> and funding </w:t>
      </w:r>
      <w:r w:rsidR="002834BB">
        <w:t xml:space="preserve">of </w:t>
      </w:r>
      <w:r w:rsidR="00490798">
        <w:t>startups. The systematic efforts ha</w:t>
      </w:r>
      <w:r>
        <w:t>ve an asymptotic impact because ultimately, a</w:t>
      </w:r>
      <w:r w:rsidR="002834BB">
        <w:t xml:space="preserve"> university can’t force a</w:t>
      </w:r>
      <w:r>
        <w:t xml:space="preserve"> </w:t>
      </w:r>
      <w:r w:rsidR="002834BB">
        <w:t xml:space="preserve">technology </w:t>
      </w:r>
      <w:r>
        <w:t>to be successful</w:t>
      </w:r>
      <w:r w:rsidR="002834BB">
        <w:t>ly commercialized</w:t>
      </w:r>
      <w:r w:rsidR="00490798">
        <w:t>. However, the organic efforts hav</w:t>
      </w:r>
      <w:r w:rsidR="0042052A">
        <w:t xml:space="preserve">e an exponential impact in that </w:t>
      </w:r>
      <w:r w:rsidR="00B353CB">
        <w:t xml:space="preserve">the </w:t>
      </w:r>
      <w:r w:rsidR="00093E7C">
        <w:t>stronger</w:t>
      </w:r>
      <w:r w:rsidR="00B353CB">
        <w:t xml:space="preserve"> the Hy-LIE, the more it attracts and retains resources </w:t>
      </w:r>
      <w:r w:rsidR="009A6058">
        <w:t xml:space="preserve">– creating a </w:t>
      </w:r>
      <w:r w:rsidR="00845400">
        <w:t>super-critical ma</w:t>
      </w:r>
      <w:r>
        <w:t xml:space="preserve">ss effect on </w:t>
      </w:r>
      <w:r w:rsidR="00986667">
        <w:t xml:space="preserve">ideation, </w:t>
      </w:r>
      <w:r>
        <w:t>vetting, mentoring, staffing and funding.</w:t>
      </w:r>
    </w:p>
    <w:p w14:paraId="29AD77C7" w14:textId="77777777" w:rsidR="008C13B8" w:rsidRPr="00F04A71" w:rsidRDefault="008C13B8" w:rsidP="006F23F1">
      <w:pPr>
        <w:pStyle w:val="BodyText"/>
        <w:rPr>
          <w:sz w:val="12"/>
          <w:szCs w:val="12"/>
        </w:rPr>
      </w:pPr>
    </w:p>
    <w:p w14:paraId="62486A0E" w14:textId="5544D2F4" w:rsidR="006F23F1" w:rsidRDefault="00C73DA4" w:rsidP="006F23F1">
      <w:pPr>
        <w:pStyle w:val="BodyText"/>
      </w:pPr>
      <w:r>
        <w:rPr>
          <w:color w:val="000090"/>
          <w:u w:val="single"/>
        </w:rPr>
        <w:t>Competition</w:t>
      </w:r>
      <w:r w:rsidR="00A61086">
        <w:rPr>
          <w:color w:val="000090"/>
          <w:u w:val="single"/>
        </w:rPr>
        <w:t xml:space="preserve"> for Top Students and Faculty</w:t>
      </w:r>
      <w:r w:rsidR="00A61086" w:rsidRPr="00C24002">
        <w:t>:</w:t>
      </w:r>
      <w:r w:rsidR="007A4C0F">
        <w:t xml:space="preserve"> </w:t>
      </w:r>
      <w:r w:rsidR="00F570C4">
        <w:t xml:space="preserve">If a top-tier university has a </w:t>
      </w:r>
      <w:r w:rsidR="00D67657">
        <w:t>robust Hy-LIE</w:t>
      </w:r>
      <w:r w:rsidR="00F570C4">
        <w:t>, then that differentiator</w:t>
      </w:r>
      <w:r w:rsidR="00D67657">
        <w:t xml:space="preserve"> can be one of several competitive assets that </w:t>
      </w:r>
      <w:r w:rsidR="00F570C4">
        <w:t>the university</w:t>
      </w:r>
      <w:r w:rsidR="00D67657">
        <w:t xml:space="preserve"> leverage</w:t>
      </w:r>
      <w:r w:rsidR="00F570C4">
        <w:t>s</w:t>
      </w:r>
      <w:r w:rsidR="00D67657">
        <w:t xml:space="preserve"> in competing to attract and retain top faculty and students. </w:t>
      </w:r>
      <w:r w:rsidR="006F23F1">
        <w:t>To understand why, imagine the a</w:t>
      </w:r>
      <w:r w:rsidR="00B91B59">
        <w:t xml:space="preserve">tmosphere at a university with </w:t>
      </w:r>
      <w:r w:rsidR="00FB04AD">
        <w:t>prestigious</w:t>
      </w:r>
      <w:r w:rsidR="00B91B59">
        <w:t xml:space="preserve"> </w:t>
      </w:r>
      <w:r w:rsidR="00A03780">
        <w:t xml:space="preserve">STEM-B </w:t>
      </w:r>
      <w:r w:rsidR="00B91B59">
        <w:t>programs but a</w:t>
      </w:r>
      <w:r w:rsidR="006F23F1">
        <w:t xml:space="preserve"> weak Hy-LIE </w:t>
      </w:r>
      <w:r w:rsidR="00B91B59">
        <w:t xml:space="preserve">– causing its most </w:t>
      </w:r>
      <w:r w:rsidR="00FB04AD">
        <w:t xml:space="preserve">ambitious </w:t>
      </w:r>
      <w:r w:rsidR="006F23F1">
        <w:t>students</w:t>
      </w:r>
      <w:r w:rsidR="00B91B59">
        <w:t xml:space="preserve"> to</w:t>
      </w:r>
      <w:r w:rsidR="006F23F1">
        <w:t xml:space="preserve"> lo</w:t>
      </w:r>
      <w:r w:rsidR="00F04A71">
        <w:t>ok forward to relocating to the robust Hy-LIEs associated with peer universities</w:t>
      </w:r>
      <w:r w:rsidR="006F23F1">
        <w:t>.</w:t>
      </w:r>
      <w:r w:rsidR="00F04A71">
        <w:t xml:space="preserve"> Overtime,</w:t>
      </w:r>
      <w:r w:rsidR="006F562E">
        <w:t xml:space="preserve"> that </w:t>
      </w:r>
      <w:r>
        <w:t>migration</w:t>
      </w:r>
      <w:r w:rsidR="006F562E">
        <w:t xml:space="preserve"> of ambitious </w:t>
      </w:r>
      <w:r w:rsidR="001E6B07">
        <w:t>alumni</w:t>
      </w:r>
      <w:r w:rsidR="006F562E">
        <w:t xml:space="preserve"> is an advantage for universities with robust Hy-LIEs.</w:t>
      </w:r>
    </w:p>
    <w:p w14:paraId="18E3BE74" w14:textId="77777777" w:rsidR="008C13B8" w:rsidRDefault="008C13B8" w:rsidP="006F23F1">
      <w:pPr>
        <w:pStyle w:val="BodyText"/>
        <w:rPr>
          <w:sz w:val="16"/>
          <w:szCs w:val="16"/>
        </w:rPr>
      </w:pPr>
    </w:p>
    <w:p w14:paraId="12CADF8C" w14:textId="73C6F265" w:rsidR="009F613C" w:rsidRDefault="009F613C" w:rsidP="009F613C">
      <w:pPr>
        <w:pStyle w:val="BodyText"/>
      </w:pPr>
      <w:r>
        <w:rPr>
          <w:color w:val="000090"/>
          <w:u w:val="single"/>
        </w:rPr>
        <w:t>Total Mission Integration</w:t>
      </w:r>
      <w:r>
        <w:t xml:space="preserve">: Finally, when a university expands its activities beyond those of catalyzing and accelerating the commercialization of innovations developed by its researchers, to also localizing that commercialization, then many of that university’s corresponding </w:t>
      </w:r>
      <w:r w:rsidR="001D5A8B">
        <w:t>programs</w:t>
      </w:r>
      <w:r>
        <w:t xml:space="preserve"> can holistically integrate the education, research and service missions of the university (Figure 3). The University of Utah refers to this admirable environment as “total mission integration”.</w:t>
      </w:r>
    </w:p>
    <w:p w14:paraId="0A1461AB" w14:textId="77777777" w:rsidR="0057029F" w:rsidRDefault="0057029F" w:rsidP="006F23F1">
      <w:pPr>
        <w:pStyle w:val="BodyText"/>
        <w:rPr>
          <w:sz w:val="16"/>
          <w:szCs w:val="16"/>
        </w:rPr>
      </w:pPr>
    </w:p>
    <w:p w14:paraId="70669691" w14:textId="77777777" w:rsidR="00347A53" w:rsidRDefault="00347A53" w:rsidP="006F23F1">
      <w:pPr>
        <w:pStyle w:val="BodyText"/>
        <w:rPr>
          <w:sz w:val="16"/>
          <w:szCs w:val="16"/>
        </w:rPr>
      </w:pPr>
    </w:p>
    <w:p w14:paraId="4AF38DAD" w14:textId="77777777" w:rsidR="0057029F" w:rsidRDefault="0057029F" w:rsidP="006F23F1">
      <w:pPr>
        <w:pStyle w:val="BodyText"/>
        <w:rPr>
          <w:sz w:val="16"/>
          <w:szCs w:val="16"/>
        </w:rPr>
      </w:pPr>
    </w:p>
    <w:p w14:paraId="7C8EF44B" w14:textId="77777777" w:rsidR="0057029F" w:rsidRDefault="0057029F" w:rsidP="006F23F1">
      <w:pPr>
        <w:pStyle w:val="BodyText"/>
        <w:rPr>
          <w:sz w:val="16"/>
          <w:szCs w:val="16"/>
        </w:rPr>
      </w:pPr>
    </w:p>
    <w:p w14:paraId="073B5374" w14:textId="77777777" w:rsidR="00EF4730" w:rsidRDefault="00EF4730" w:rsidP="006F23F1">
      <w:pPr>
        <w:pStyle w:val="BodyText"/>
        <w:rPr>
          <w:sz w:val="16"/>
          <w:szCs w:val="16"/>
        </w:rPr>
      </w:pPr>
    </w:p>
    <w:p w14:paraId="09FD4AC8" w14:textId="77777777" w:rsidR="00EF4730" w:rsidRDefault="00EF4730" w:rsidP="006F23F1">
      <w:pPr>
        <w:pStyle w:val="BodyText"/>
        <w:rPr>
          <w:sz w:val="16"/>
          <w:szCs w:val="16"/>
        </w:rPr>
      </w:pPr>
    </w:p>
    <w:p w14:paraId="4B210B51" w14:textId="128270A3" w:rsidR="008C13B8" w:rsidRDefault="008C13B8" w:rsidP="00347A53">
      <w:pPr>
        <w:pStyle w:val="BodyText"/>
        <w:keepNext/>
        <w:jc w:val="center"/>
        <w:rPr>
          <w:b/>
        </w:rPr>
      </w:pPr>
      <w:r>
        <w:rPr>
          <w:b/>
        </w:rPr>
        <w:lastRenderedPageBreak/>
        <w:t>Figure 2</w:t>
      </w:r>
      <w:r w:rsidRPr="00595FE8">
        <w:rPr>
          <w:b/>
        </w:rPr>
        <w:t xml:space="preserve">:  </w:t>
      </w:r>
      <w:r w:rsidR="00611EF2">
        <w:rPr>
          <w:b/>
        </w:rPr>
        <w:t xml:space="preserve">Systematic </w:t>
      </w:r>
      <w:proofErr w:type="spellStart"/>
      <w:r w:rsidR="00611EF2">
        <w:rPr>
          <w:b/>
        </w:rPr>
        <w:t>v</w:t>
      </w:r>
      <w:r>
        <w:rPr>
          <w:b/>
        </w:rPr>
        <w:t>s</w:t>
      </w:r>
      <w:proofErr w:type="spellEnd"/>
      <w:r>
        <w:rPr>
          <w:b/>
        </w:rPr>
        <w:t xml:space="preserve"> Hy</w:t>
      </w:r>
      <w:r w:rsidR="00611EF2">
        <w:rPr>
          <w:b/>
        </w:rPr>
        <w:t>-LIE Impact on Commercializing University Technology</w:t>
      </w:r>
    </w:p>
    <w:p w14:paraId="63136A94" w14:textId="77777777" w:rsidR="008C13B8" w:rsidRPr="00611EF2" w:rsidRDefault="008C13B8" w:rsidP="008C13B8">
      <w:pPr>
        <w:pStyle w:val="BodyText"/>
        <w:jc w:val="center"/>
        <w:rPr>
          <w:sz w:val="12"/>
          <w:szCs w:val="12"/>
        </w:rPr>
      </w:pPr>
    </w:p>
    <w:p w14:paraId="0F197D52" w14:textId="2317FF32" w:rsidR="006F23F1" w:rsidRDefault="008C13B8" w:rsidP="00601100">
      <w:pPr>
        <w:pStyle w:val="BodyText"/>
        <w:rPr>
          <w:sz w:val="12"/>
        </w:rPr>
      </w:pPr>
      <w:r w:rsidRPr="008C13B8">
        <w:rPr>
          <w:noProof/>
        </w:rPr>
        <w:drawing>
          <wp:inline distT="0" distB="0" distL="0" distR="0" wp14:anchorId="5FAAB6EC" wp14:editId="14718BF8">
            <wp:extent cx="5715000" cy="3374905"/>
            <wp:effectExtent l="25400" t="25400" r="25400" b="2921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4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ED8CD47" w14:textId="740E146C" w:rsidR="008C13B8" w:rsidRDefault="008C13B8" w:rsidP="00601100">
      <w:pPr>
        <w:pStyle w:val="BodyText"/>
        <w:rPr>
          <w:sz w:val="12"/>
        </w:rPr>
      </w:pPr>
    </w:p>
    <w:p w14:paraId="71BFC2F0" w14:textId="5CB15203" w:rsidR="008B44BD" w:rsidRPr="00595FE8" w:rsidRDefault="008C13B8" w:rsidP="002758BC">
      <w:pPr>
        <w:keepNext/>
        <w:jc w:val="center"/>
        <w:rPr>
          <w:b/>
        </w:rPr>
      </w:pPr>
      <w:r>
        <w:rPr>
          <w:b/>
        </w:rPr>
        <w:t>Figure 3</w:t>
      </w:r>
      <w:r w:rsidR="00595FE8" w:rsidRPr="00595FE8">
        <w:rPr>
          <w:b/>
        </w:rPr>
        <w:t>:</w:t>
      </w:r>
      <w:r w:rsidR="008B44BD" w:rsidRPr="00595FE8">
        <w:rPr>
          <w:b/>
        </w:rPr>
        <w:t xml:space="preserve"> </w:t>
      </w:r>
      <w:r w:rsidR="00595FE8" w:rsidRPr="00595FE8">
        <w:rPr>
          <w:b/>
        </w:rPr>
        <w:t xml:space="preserve"> </w:t>
      </w:r>
      <w:r w:rsidR="008B44BD" w:rsidRPr="00595FE8">
        <w:rPr>
          <w:b/>
        </w:rPr>
        <w:t>Total Mission Integration</w:t>
      </w:r>
    </w:p>
    <w:p w14:paraId="64A65883" w14:textId="77777777" w:rsidR="00595FE8" w:rsidRPr="002758BC" w:rsidRDefault="00595FE8">
      <w:pPr>
        <w:rPr>
          <w:sz w:val="16"/>
          <w:szCs w:val="16"/>
        </w:rPr>
      </w:pPr>
    </w:p>
    <w:p w14:paraId="5C9E8602" w14:textId="684B3DAE" w:rsidR="003652F0" w:rsidRDefault="00323ED7">
      <w:r w:rsidRPr="00323ED7">
        <w:rPr>
          <w:noProof/>
        </w:rPr>
        <w:drawing>
          <wp:inline distT="0" distB="0" distL="0" distR="0" wp14:anchorId="35E7A059" wp14:editId="26B9310D">
            <wp:extent cx="5714845" cy="4093966"/>
            <wp:effectExtent l="25400" t="25400" r="26035" b="209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40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0B1F08" w14:textId="72F4B05E" w:rsidR="00792365" w:rsidRDefault="00126FF6" w:rsidP="00F26356">
      <w:pPr>
        <w:pStyle w:val="Heading1"/>
      </w:pPr>
      <w:r>
        <w:lastRenderedPageBreak/>
        <w:t>University Segmentation</w:t>
      </w:r>
    </w:p>
    <w:p w14:paraId="5EB27103" w14:textId="77777777" w:rsidR="00B346CD" w:rsidRPr="00737D46" w:rsidRDefault="00B346CD">
      <w:pPr>
        <w:rPr>
          <w:sz w:val="16"/>
        </w:rPr>
      </w:pPr>
    </w:p>
    <w:p w14:paraId="7EA66AB6" w14:textId="22D57AE3" w:rsidR="00D0126C" w:rsidRDefault="00A05FC0" w:rsidP="00297ACC">
      <w:pPr>
        <w:pStyle w:val="BodyText"/>
      </w:pPr>
      <w:r>
        <w:t xml:space="preserve">To understand how a university’s Hy-LIE </w:t>
      </w:r>
      <w:r w:rsidR="00771CBA">
        <w:t xml:space="preserve">influences </w:t>
      </w:r>
      <w:r>
        <w:t xml:space="preserve">its competitiveness, </w:t>
      </w:r>
      <w:r w:rsidR="002F4CBA">
        <w:t xml:space="preserve">universities can be </w:t>
      </w:r>
      <w:r w:rsidR="001F1906">
        <w:t>analyzed</w:t>
      </w:r>
      <w:r w:rsidR="003F56BF">
        <w:t xml:space="preserve"> along two </w:t>
      </w:r>
      <w:r w:rsidR="00A6679D">
        <w:t>dimensions:</w:t>
      </w:r>
      <w:r w:rsidR="004851ED">
        <w:t xml:space="preserve"> the quality of their </w:t>
      </w:r>
      <w:r w:rsidR="00A03780">
        <w:t>STEM-B</w:t>
      </w:r>
      <w:r w:rsidR="002F4CBA">
        <w:t xml:space="preserve"> programs</w:t>
      </w:r>
      <w:r w:rsidR="001F1906">
        <w:t>, and th</w:t>
      </w:r>
      <w:r w:rsidR="00A6679D">
        <w:t xml:space="preserve">e status of </w:t>
      </w:r>
      <w:r w:rsidR="004851ED">
        <w:t>their</w:t>
      </w:r>
      <w:r w:rsidR="00A6679D">
        <w:t xml:space="preserve"> Hy-LIE</w:t>
      </w:r>
      <w:r w:rsidR="004851ED">
        <w:t>s</w:t>
      </w:r>
      <w:r w:rsidR="00A6679D">
        <w:t>.</w:t>
      </w:r>
      <w:r w:rsidR="008F7AA0">
        <w:t xml:space="preserve"> </w:t>
      </w:r>
      <w:r w:rsidR="001030DF">
        <w:t>From this analysis, universities can be divided into four segments</w:t>
      </w:r>
      <w:r w:rsidR="001F1906">
        <w:t>:</w:t>
      </w:r>
      <w:r w:rsidR="002E21C8">
        <w:t xml:space="preserve"> cultivate, </w:t>
      </w:r>
      <w:r w:rsidR="00782D90">
        <w:t>catapult, can’t compete, and call-to-action</w:t>
      </w:r>
      <w:r w:rsidR="006F16AB">
        <w:t xml:space="preserve"> (Figure 4</w:t>
      </w:r>
      <w:r w:rsidR="00535ECD">
        <w:t>)</w:t>
      </w:r>
      <w:r w:rsidR="002E21C8">
        <w:t xml:space="preserve">. </w:t>
      </w:r>
    </w:p>
    <w:p w14:paraId="5158B42A" w14:textId="77777777" w:rsidR="00D0126C" w:rsidRPr="003F56BF" w:rsidRDefault="00D0126C">
      <w:pPr>
        <w:rPr>
          <w:sz w:val="12"/>
        </w:rPr>
      </w:pPr>
    </w:p>
    <w:p w14:paraId="53048666" w14:textId="4EB378C7" w:rsidR="002F4CBA" w:rsidRDefault="00A6679D" w:rsidP="00297ACC">
      <w:pPr>
        <w:pStyle w:val="BodyText"/>
      </w:pPr>
      <w:r w:rsidRPr="000D6FAA">
        <w:rPr>
          <w:color w:val="000090"/>
          <w:u w:val="single"/>
        </w:rPr>
        <w:t>Cultivate</w:t>
      </w:r>
      <w:r>
        <w:t xml:space="preserve">:  </w:t>
      </w:r>
      <w:r w:rsidR="00D0126C">
        <w:t>The cultivate segment is comprise</w:t>
      </w:r>
      <w:r w:rsidR="003F56BF">
        <w:t xml:space="preserve">d of universities that have top </w:t>
      </w:r>
      <w:r w:rsidR="00D0126C">
        <w:t xml:space="preserve">rated </w:t>
      </w:r>
      <w:r w:rsidR="00A03780">
        <w:t>STEM-B</w:t>
      </w:r>
      <w:r w:rsidR="00D0126C">
        <w:t xml:space="preserve"> programs and also have </w:t>
      </w:r>
      <w:r w:rsidR="00AA236C">
        <w:t>critical mass</w:t>
      </w:r>
      <w:r w:rsidR="00D0126C">
        <w:t xml:space="preserve"> Hy-LIEs. This is a</w:t>
      </w:r>
      <w:r w:rsidR="00921BF9">
        <w:t>n</w:t>
      </w:r>
      <w:r w:rsidR="00D0126C">
        <w:t xml:space="preserve"> elite class of universities that includes Stanford in Silicon Valley, MIT and Harvard in Cambridge, and UC San Francisco in Mission Bay</w:t>
      </w:r>
      <w:r w:rsidR="00146DA3">
        <w:t xml:space="preserve">. </w:t>
      </w:r>
      <w:r w:rsidR="00921BF9">
        <w:t>Tsinghua in Beijing</w:t>
      </w:r>
      <w:r w:rsidR="00146DA3">
        <w:t xml:space="preserve"> is </w:t>
      </w:r>
      <w:r w:rsidR="003F56BF">
        <w:t xml:space="preserve">also </w:t>
      </w:r>
      <w:r w:rsidR="00146DA3">
        <w:t>nearing this elite class</w:t>
      </w:r>
      <w:r w:rsidR="00443E58">
        <w:t xml:space="preserve">. The world-class </w:t>
      </w:r>
      <w:r w:rsidR="00921BF9">
        <w:t>Hy-LIE</w:t>
      </w:r>
      <w:r w:rsidR="00443E58">
        <w:t>s</w:t>
      </w:r>
      <w:r w:rsidR="00921BF9">
        <w:t xml:space="preserve"> of these universities </w:t>
      </w:r>
      <w:r w:rsidR="00443E58">
        <w:t>are</w:t>
      </w:r>
      <w:r w:rsidR="00921BF9">
        <w:t xml:space="preserve"> a competitive ad</w:t>
      </w:r>
      <w:r w:rsidR="0081695D">
        <w:t>vantage that these universities should</w:t>
      </w:r>
      <w:r w:rsidR="009807F1">
        <w:t xml:space="preserve"> continue to cultivate</w:t>
      </w:r>
      <w:r w:rsidR="00443E58">
        <w:t xml:space="preserve"> by growing Hy-LIE </w:t>
      </w:r>
      <w:r w:rsidR="004471E2">
        <w:t xml:space="preserve">relationships </w:t>
      </w:r>
      <w:r w:rsidR="00443E58">
        <w:t xml:space="preserve">to </w:t>
      </w:r>
      <w:r w:rsidR="008F11E3">
        <w:t xml:space="preserve">their </w:t>
      </w:r>
      <w:r w:rsidR="003F56BF">
        <w:t>campus</w:t>
      </w:r>
      <w:r w:rsidR="008F11E3">
        <w:t>es</w:t>
      </w:r>
      <w:r w:rsidR="00443E58">
        <w:t xml:space="preserve">. </w:t>
      </w:r>
    </w:p>
    <w:p w14:paraId="6FA4DA68" w14:textId="77777777" w:rsidR="00921BF9" w:rsidRPr="003F56BF" w:rsidRDefault="00921BF9">
      <w:pPr>
        <w:rPr>
          <w:sz w:val="12"/>
        </w:rPr>
      </w:pPr>
    </w:p>
    <w:p w14:paraId="225BC271" w14:textId="4E777B7A" w:rsidR="00921BF9" w:rsidRDefault="008E4DC0" w:rsidP="00297ACC">
      <w:pPr>
        <w:pStyle w:val="BodyText"/>
      </w:pPr>
      <w:r w:rsidRPr="000D6FAA">
        <w:rPr>
          <w:color w:val="000090"/>
          <w:u w:val="single"/>
        </w:rPr>
        <w:t>Catapult</w:t>
      </w:r>
      <w:r w:rsidR="006801D9">
        <w:t xml:space="preserve">:  </w:t>
      </w:r>
      <w:r w:rsidR="00921BF9">
        <w:t xml:space="preserve">The </w:t>
      </w:r>
      <w:r w:rsidR="00AD1A2F">
        <w:t>catapult segment is comprised of universities that are located in criti</w:t>
      </w:r>
      <w:r w:rsidR="00EB383B">
        <w:t>cal mass Hy-LIEs</w:t>
      </w:r>
      <w:r w:rsidR="00CB2784">
        <w:t>,</w:t>
      </w:r>
      <w:r w:rsidR="00EB383B">
        <w:t xml:space="preserve"> but don’t currently</w:t>
      </w:r>
      <w:r w:rsidR="00AD1A2F">
        <w:t xml:space="preserve"> have </w:t>
      </w:r>
      <w:r w:rsidR="00B30624">
        <w:t>top</w:t>
      </w:r>
      <w:r w:rsidR="00A816BA">
        <w:t xml:space="preserve"> </w:t>
      </w:r>
      <w:r w:rsidR="00AD1A2F">
        <w:t xml:space="preserve">rated </w:t>
      </w:r>
      <w:r w:rsidR="00A03780">
        <w:t>STEM-B</w:t>
      </w:r>
      <w:r w:rsidR="00AD1A2F">
        <w:t xml:space="preserve"> programs. </w:t>
      </w:r>
      <w:r w:rsidR="00EB383B">
        <w:t>Universities in this group include, Santa Clara University (Silicon Valley)</w:t>
      </w:r>
      <w:r w:rsidR="00FB2B27">
        <w:t>, University of San Francisco,</w:t>
      </w:r>
      <w:r w:rsidR="00EB383B">
        <w:t xml:space="preserve"> New York University</w:t>
      </w:r>
      <w:r w:rsidR="00D364A6">
        <w:t>, and Boston University</w:t>
      </w:r>
      <w:r w:rsidR="00EB383B">
        <w:t xml:space="preserve">. </w:t>
      </w:r>
      <w:r w:rsidR="00AF03CC">
        <w:t xml:space="preserve">Leveraging their Hy-LIE to improve the </w:t>
      </w:r>
      <w:r w:rsidR="00264C3F">
        <w:t>competitiveness</w:t>
      </w:r>
      <w:r w:rsidR="00CD188A">
        <w:t xml:space="preserve"> and reputation</w:t>
      </w:r>
      <w:r w:rsidR="00AF03CC">
        <w:t xml:space="preserve"> of their </w:t>
      </w:r>
      <w:r w:rsidR="00A03780">
        <w:t>STEM-B</w:t>
      </w:r>
      <w:r w:rsidR="00AF03CC">
        <w:t xml:space="preserve"> programs has great potential.</w:t>
      </w:r>
      <w:r w:rsidR="00BA380F">
        <w:t xml:space="preserve"> This </w:t>
      </w:r>
      <w:r w:rsidR="00775B3E">
        <w:t xml:space="preserve">opportunity </w:t>
      </w:r>
      <w:r w:rsidR="00BA380F">
        <w:t>is the topic for a future article.</w:t>
      </w:r>
    </w:p>
    <w:p w14:paraId="353F29DD" w14:textId="77777777" w:rsidR="00AF03CC" w:rsidRPr="003F56BF" w:rsidRDefault="00AF03CC">
      <w:pPr>
        <w:rPr>
          <w:sz w:val="12"/>
        </w:rPr>
      </w:pPr>
    </w:p>
    <w:p w14:paraId="5335E1B2" w14:textId="2B2F6204" w:rsidR="00AF03CC" w:rsidRDefault="00264C3F" w:rsidP="00297ACC">
      <w:pPr>
        <w:pStyle w:val="BodyText"/>
      </w:pPr>
      <w:r w:rsidRPr="000D6FAA">
        <w:rPr>
          <w:color w:val="000090"/>
          <w:u w:val="single"/>
        </w:rPr>
        <w:t>Can’t Compete</w:t>
      </w:r>
      <w:r>
        <w:t xml:space="preserve">:  </w:t>
      </w:r>
      <w:r w:rsidR="00AF03CC">
        <w:t xml:space="preserve">The </w:t>
      </w:r>
      <w:r w:rsidR="007479A3">
        <w:t xml:space="preserve">can’t-compete segment is comprised of universities that don’t have </w:t>
      </w:r>
      <w:r w:rsidR="000D17F3">
        <w:t>top ranked</w:t>
      </w:r>
      <w:r w:rsidR="007479A3">
        <w:t xml:space="preserve"> </w:t>
      </w:r>
      <w:r w:rsidR="00A03780">
        <w:t>STEM-B</w:t>
      </w:r>
      <w:r w:rsidR="007479A3">
        <w:t xml:space="preserve"> programs </w:t>
      </w:r>
      <w:r w:rsidR="006D2FE3">
        <w:t>or</w:t>
      </w:r>
      <w:r w:rsidR="007479A3">
        <w:t xml:space="preserve"> robust Hy-LIEs. </w:t>
      </w:r>
      <w:r w:rsidR="00AF7C7F">
        <w:t>Acco</w:t>
      </w:r>
      <w:r w:rsidR="00654693">
        <w:t xml:space="preserve">rdingly, they </w:t>
      </w:r>
      <w:r w:rsidR="00311273">
        <w:t xml:space="preserve">typically </w:t>
      </w:r>
      <w:r w:rsidR="00654693">
        <w:t xml:space="preserve">focus on education market segments that don’t compete with the </w:t>
      </w:r>
      <w:r w:rsidR="001A6F24">
        <w:t>prestigious</w:t>
      </w:r>
      <w:r w:rsidR="00654693">
        <w:t xml:space="preserve"> </w:t>
      </w:r>
      <w:r w:rsidR="00A03780">
        <w:t>STEM-B</w:t>
      </w:r>
      <w:r w:rsidR="00654693">
        <w:t xml:space="preserve"> programs.</w:t>
      </w:r>
      <w:r w:rsidR="00E808C3">
        <w:t xml:space="preserve"> Universities in this group include </w:t>
      </w:r>
      <w:r w:rsidR="00855009">
        <w:t xml:space="preserve">many state universities and also </w:t>
      </w:r>
      <w:r w:rsidR="00E808C3">
        <w:t>liberal arts</w:t>
      </w:r>
      <w:r w:rsidR="002E32E1">
        <w:t>-focused</w:t>
      </w:r>
      <w:r w:rsidR="00E808C3">
        <w:t xml:space="preserve"> colleges such as </w:t>
      </w:r>
      <w:r w:rsidR="004A4EE5">
        <w:t>Williams, Amherst and Swa</w:t>
      </w:r>
      <w:r w:rsidR="009F5607">
        <w:t>r</w:t>
      </w:r>
      <w:r w:rsidR="00855009">
        <w:t>thmore.</w:t>
      </w:r>
    </w:p>
    <w:p w14:paraId="55203E68" w14:textId="77777777" w:rsidR="00BA380F" w:rsidRPr="003F56BF" w:rsidRDefault="00BA380F">
      <w:pPr>
        <w:rPr>
          <w:sz w:val="12"/>
        </w:rPr>
      </w:pPr>
    </w:p>
    <w:p w14:paraId="496E4FAD" w14:textId="77777777" w:rsidR="000409CE" w:rsidRDefault="007F6669" w:rsidP="00297ACC">
      <w:pPr>
        <w:pStyle w:val="BodyText"/>
      </w:pPr>
      <w:r w:rsidRPr="000D6FAA">
        <w:rPr>
          <w:color w:val="000090"/>
          <w:u w:val="single"/>
        </w:rPr>
        <w:t>Call-to-Action</w:t>
      </w:r>
      <w:r>
        <w:t xml:space="preserve">:  </w:t>
      </w:r>
      <w:r w:rsidR="00BA380F">
        <w:t xml:space="preserve">The call-to-action segment is comprised of universities with </w:t>
      </w:r>
      <w:r w:rsidR="00A816BA">
        <w:t>top rated</w:t>
      </w:r>
      <w:r w:rsidR="00BA380F">
        <w:t xml:space="preserve"> </w:t>
      </w:r>
      <w:r w:rsidR="00A03780">
        <w:t>STEM-B</w:t>
      </w:r>
      <w:r w:rsidR="00BA380F">
        <w:t xml:space="preserve"> programs but weak Hy-LIEs. </w:t>
      </w:r>
      <w:r w:rsidR="00C552AD">
        <w:t>Universities in this g</w:t>
      </w:r>
      <w:r w:rsidR="007512CE">
        <w:t>roup include Cornell, Princeton</w:t>
      </w:r>
      <w:r w:rsidR="006E076E">
        <w:t>, Yale</w:t>
      </w:r>
      <w:r w:rsidR="006B6481">
        <w:t xml:space="preserve"> and Dartmouth</w:t>
      </w:r>
      <w:r w:rsidR="00C552AD">
        <w:t xml:space="preserve">. </w:t>
      </w:r>
      <w:r w:rsidR="00A73085">
        <w:t xml:space="preserve">In comparison to </w:t>
      </w:r>
      <w:r w:rsidR="00CE76DF">
        <w:t xml:space="preserve">peer </w:t>
      </w:r>
      <w:r w:rsidR="00A73085">
        <w:t xml:space="preserve">universities in the cultivate segment, </w:t>
      </w:r>
      <w:r w:rsidR="004D75B1">
        <w:t>the weak Hy-LIEs of these call-to-action</w:t>
      </w:r>
      <w:r w:rsidR="00A73085">
        <w:t xml:space="preserve"> universities </w:t>
      </w:r>
      <w:r w:rsidR="006D2FE3">
        <w:t>is a</w:t>
      </w:r>
      <w:r w:rsidR="00A73085">
        <w:t xml:space="preserve"> competitive disadvantage. Consequently, t</w:t>
      </w:r>
      <w:r w:rsidR="00BA380F">
        <w:t xml:space="preserve">hese universities </w:t>
      </w:r>
      <w:r w:rsidR="003039B0">
        <w:t xml:space="preserve">should address this </w:t>
      </w:r>
      <w:r w:rsidR="00E22FC7">
        <w:t>situation</w:t>
      </w:r>
      <w:r w:rsidR="00D2401C">
        <w:t>;</w:t>
      </w:r>
      <w:r w:rsidR="003039B0">
        <w:t xml:space="preserve"> o</w:t>
      </w:r>
      <w:r w:rsidR="00BA380F">
        <w:t xml:space="preserve">therwise, </w:t>
      </w:r>
      <w:r w:rsidR="00E22FC7">
        <w:t xml:space="preserve">this will </w:t>
      </w:r>
      <w:r w:rsidR="002758BC">
        <w:t>become a</w:t>
      </w:r>
      <w:r w:rsidR="00E22FC7">
        <w:t xml:space="preserve"> disadvantage when competing to attract and retain </w:t>
      </w:r>
      <w:r w:rsidR="0037619F">
        <w:t>top</w:t>
      </w:r>
      <w:r w:rsidR="00BA380F">
        <w:t xml:space="preserve"> </w:t>
      </w:r>
      <w:r w:rsidR="00A03780">
        <w:t>STEM-B</w:t>
      </w:r>
      <w:r w:rsidR="00E22FC7">
        <w:t xml:space="preserve"> faculty and</w:t>
      </w:r>
      <w:r w:rsidR="005E0D02">
        <w:t xml:space="preserve"> </w:t>
      </w:r>
      <w:r w:rsidR="00BA380F">
        <w:t xml:space="preserve">students. </w:t>
      </w:r>
    </w:p>
    <w:p w14:paraId="51070654" w14:textId="27F37D49" w:rsidR="00BA380F" w:rsidRDefault="00B45CA9" w:rsidP="00297ACC">
      <w:pPr>
        <w:pStyle w:val="BodyText"/>
      </w:pPr>
      <w:r>
        <w:t xml:space="preserve">The remainder of this article focuses on this </w:t>
      </w:r>
      <w:r w:rsidR="00CE76DF">
        <w:t xml:space="preserve">call-to-action </w:t>
      </w:r>
      <w:r>
        <w:t>segment.</w:t>
      </w:r>
    </w:p>
    <w:p w14:paraId="6ABA5E2C" w14:textId="77777777" w:rsidR="00C81D9E" w:rsidRDefault="00C81D9E" w:rsidP="00297ACC">
      <w:pPr>
        <w:pStyle w:val="BodyText"/>
      </w:pPr>
    </w:p>
    <w:p w14:paraId="158AA999" w14:textId="1FED6887" w:rsidR="004F4C52" w:rsidRDefault="00AC3235" w:rsidP="00011531">
      <w:pPr>
        <w:pStyle w:val="BodyText"/>
        <w:jc w:val="center"/>
        <w:rPr>
          <w:b/>
        </w:rPr>
      </w:pPr>
      <w:r>
        <w:rPr>
          <w:b/>
        </w:rPr>
        <w:t>Figure 4</w:t>
      </w:r>
      <w:r w:rsidR="00011531">
        <w:rPr>
          <w:b/>
        </w:rPr>
        <w:t>:</w:t>
      </w:r>
      <w:r w:rsidR="00AA010B" w:rsidRPr="00011531">
        <w:rPr>
          <w:b/>
        </w:rPr>
        <w:t xml:space="preserve"> </w:t>
      </w:r>
      <w:r w:rsidR="00011531">
        <w:rPr>
          <w:b/>
        </w:rPr>
        <w:t xml:space="preserve"> </w:t>
      </w:r>
      <w:r w:rsidR="00A03780">
        <w:rPr>
          <w:b/>
        </w:rPr>
        <w:t>STEM-B</w:t>
      </w:r>
      <w:r w:rsidR="00AA010B" w:rsidRPr="00011531">
        <w:rPr>
          <w:b/>
        </w:rPr>
        <w:t xml:space="preserve"> </w:t>
      </w:r>
      <w:proofErr w:type="spellStart"/>
      <w:r w:rsidR="00AA010B" w:rsidRPr="00011531">
        <w:rPr>
          <w:b/>
        </w:rPr>
        <w:t>vs</w:t>
      </w:r>
      <w:proofErr w:type="spellEnd"/>
      <w:r w:rsidR="00AA010B" w:rsidRPr="00011531">
        <w:rPr>
          <w:b/>
        </w:rPr>
        <w:t xml:space="preserve"> Hy-LIE Segmentation</w:t>
      </w:r>
    </w:p>
    <w:p w14:paraId="03990756" w14:textId="77777777" w:rsidR="004F4C52" w:rsidRPr="004F4C52" w:rsidRDefault="004F4C52" w:rsidP="004F4C52">
      <w:pPr>
        <w:pStyle w:val="BodyText"/>
        <w:rPr>
          <w:b/>
          <w:sz w:val="8"/>
        </w:rPr>
      </w:pPr>
    </w:p>
    <w:p w14:paraId="20BB1CED" w14:textId="77777777" w:rsidR="00737D46" w:rsidRDefault="00737D46" w:rsidP="004F4C52">
      <w:pPr>
        <w:pStyle w:val="BodyText"/>
        <w:rPr>
          <w:b/>
        </w:rPr>
      </w:pPr>
      <w:r w:rsidRPr="00737D46">
        <w:rPr>
          <w:noProof/>
        </w:rPr>
        <w:drawing>
          <wp:inline distT="0" distB="0" distL="0" distR="0" wp14:anchorId="78E1E208" wp14:editId="0CA940AD">
            <wp:extent cx="5707380" cy="3068320"/>
            <wp:effectExtent l="50800" t="25400" r="330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068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169CB" w14:textId="77777777" w:rsidR="00112E05" w:rsidRPr="00737D46" w:rsidRDefault="00112E05" w:rsidP="004F4C52">
      <w:pPr>
        <w:pStyle w:val="BodyText"/>
        <w:rPr>
          <w:b/>
        </w:rPr>
      </w:pPr>
    </w:p>
    <w:p w14:paraId="5F546557" w14:textId="71CFD1B7" w:rsidR="00B346CD" w:rsidRDefault="004E39BE" w:rsidP="00297ACC">
      <w:pPr>
        <w:pStyle w:val="Heading1"/>
      </w:pPr>
      <w:r>
        <w:t xml:space="preserve">Call-to-Action: Grow, </w:t>
      </w:r>
      <w:r w:rsidR="000918AF">
        <w:t>Branch</w:t>
      </w:r>
      <w:r>
        <w:t xml:space="preserve"> or </w:t>
      </w:r>
      <w:r w:rsidR="0080321E">
        <w:t>Envy</w:t>
      </w:r>
    </w:p>
    <w:p w14:paraId="43C09738" w14:textId="77777777" w:rsidR="00DB7369" w:rsidRPr="004F4C52" w:rsidRDefault="00DB7369">
      <w:pPr>
        <w:rPr>
          <w:sz w:val="20"/>
        </w:rPr>
      </w:pPr>
    </w:p>
    <w:p w14:paraId="4E76064D" w14:textId="4CAD5D6E" w:rsidR="00EE6A86" w:rsidRDefault="00DB7369" w:rsidP="00C2518E">
      <w:pPr>
        <w:pStyle w:val="BodyText"/>
      </w:pPr>
      <w:r>
        <w:t>The universities in the call-to-ac</w:t>
      </w:r>
      <w:r w:rsidR="004E39BE">
        <w:t xml:space="preserve">tion segment </w:t>
      </w:r>
      <w:r w:rsidR="009714FC">
        <w:t xml:space="preserve">each </w:t>
      </w:r>
      <w:r w:rsidR="00A97F78">
        <w:t xml:space="preserve">have </w:t>
      </w:r>
      <w:r w:rsidR="000918AF">
        <w:t>distinctive</w:t>
      </w:r>
      <w:r w:rsidR="00A97F78">
        <w:t xml:space="preserve"> campus layouts and are </w:t>
      </w:r>
      <w:r w:rsidR="009714FC">
        <w:t xml:space="preserve">situated in </w:t>
      </w:r>
      <w:r w:rsidR="00A97F78">
        <w:t>locations with unique attributes</w:t>
      </w:r>
      <w:r w:rsidR="00F9494F">
        <w:t xml:space="preserve"> – </w:t>
      </w:r>
      <w:r w:rsidR="0022792C">
        <w:t>as exemplified by Cornell in</w:t>
      </w:r>
      <w:r w:rsidR="00F9494F">
        <w:t xml:space="preserve"> </w:t>
      </w:r>
      <w:r w:rsidR="007D353B">
        <w:t xml:space="preserve">Ithaca NY, </w:t>
      </w:r>
      <w:r w:rsidR="0022792C">
        <w:t xml:space="preserve">Princeton in </w:t>
      </w:r>
      <w:r w:rsidR="007D353B">
        <w:t xml:space="preserve">Princeton NJ, </w:t>
      </w:r>
      <w:r w:rsidR="0022792C">
        <w:t xml:space="preserve">Yale in </w:t>
      </w:r>
      <w:r w:rsidR="00F9494F">
        <w:t>New Haven CT</w:t>
      </w:r>
      <w:r w:rsidR="006B6481">
        <w:t>, and Dartmouth in Hanover NH</w:t>
      </w:r>
      <w:r w:rsidR="007D353B">
        <w:t xml:space="preserve">. </w:t>
      </w:r>
      <w:r w:rsidR="00B157D7">
        <w:t xml:space="preserve">Accordingly, generic action plans </w:t>
      </w:r>
      <w:r w:rsidR="000918AF">
        <w:t xml:space="preserve">to address weak Hy-LIEs </w:t>
      </w:r>
      <w:r w:rsidR="00B157D7">
        <w:t>can’t be applied across this group</w:t>
      </w:r>
      <w:r w:rsidR="00D727A8">
        <w:t xml:space="preserve"> of universities</w:t>
      </w:r>
      <w:r w:rsidR="00B157D7">
        <w:t xml:space="preserve">. </w:t>
      </w:r>
      <w:r w:rsidR="009714FC">
        <w:t xml:space="preserve">However, </w:t>
      </w:r>
      <w:r w:rsidR="00D727A8">
        <w:t xml:space="preserve">within this group, </w:t>
      </w:r>
      <w:r w:rsidR="00B157D7">
        <w:t xml:space="preserve">two </w:t>
      </w:r>
      <w:r w:rsidR="00305EDD">
        <w:t>common approaches have emerged:</w:t>
      </w:r>
      <w:r w:rsidR="00B157D7">
        <w:t xml:space="preserve"> </w:t>
      </w:r>
      <w:r w:rsidR="009B2068">
        <w:t xml:space="preserve">(1) </w:t>
      </w:r>
      <w:r w:rsidR="00B157D7">
        <w:t>grow the</w:t>
      </w:r>
      <w:r w:rsidR="008218AD">
        <w:t>ir own</w:t>
      </w:r>
      <w:r w:rsidR="00B157D7">
        <w:t xml:space="preserve"> Hy-LIE to a critical mass of activity</w:t>
      </w:r>
      <w:r w:rsidR="009B2068">
        <w:t>,</w:t>
      </w:r>
      <w:r w:rsidR="00B157D7">
        <w:t xml:space="preserve"> and/or</w:t>
      </w:r>
      <w:r w:rsidR="003F54D0">
        <w:t xml:space="preserve"> </w:t>
      </w:r>
      <w:r w:rsidR="009B2068">
        <w:t xml:space="preserve">(2) branch-out </w:t>
      </w:r>
      <w:r w:rsidR="008218AD">
        <w:t xml:space="preserve">by establishing </w:t>
      </w:r>
      <w:r w:rsidR="00D727A8">
        <w:t>a</w:t>
      </w:r>
      <w:r w:rsidR="003F54D0">
        <w:t xml:space="preserve"> sister campus in </w:t>
      </w:r>
      <w:r w:rsidR="00B157D7">
        <w:t xml:space="preserve">the robust Hy-LIE of another region. </w:t>
      </w:r>
    </w:p>
    <w:p w14:paraId="20DC9257" w14:textId="77777777" w:rsidR="00EE6A86" w:rsidRDefault="00EE6A86" w:rsidP="00C2518E">
      <w:pPr>
        <w:pStyle w:val="BodyText"/>
      </w:pPr>
    </w:p>
    <w:p w14:paraId="48E6C954" w14:textId="637AB8AE" w:rsidR="006F40C9" w:rsidRDefault="00164D9B" w:rsidP="00C2518E">
      <w:pPr>
        <w:pStyle w:val="BodyText"/>
      </w:pPr>
      <w:r>
        <w:t>Determining</w:t>
      </w:r>
      <w:r w:rsidR="009E6AFB">
        <w:t xml:space="preserve"> </w:t>
      </w:r>
      <w:r w:rsidR="00B722D9">
        <w:t xml:space="preserve">how </w:t>
      </w:r>
      <w:r w:rsidR="009E6AFB">
        <w:t xml:space="preserve">to </w:t>
      </w:r>
      <w:r w:rsidR="00A16C62">
        <w:t xml:space="preserve">grow a Hy-LIE or </w:t>
      </w:r>
      <w:r w:rsidR="003F54D0">
        <w:t xml:space="preserve">establish a </w:t>
      </w:r>
      <w:r w:rsidR="00305EDD">
        <w:t xml:space="preserve">sister </w:t>
      </w:r>
      <w:r w:rsidR="003F54D0">
        <w:t>campus varies depending o</w:t>
      </w:r>
      <w:r w:rsidR="00305EDD">
        <w:t>n a university’s</w:t>
      </w:r>
      <w:r w:rsidR="003F54D0">
        <w:t xml:space="preserve"> </w:t>
      </w:r>
      <w:r w:rsidR="007F2AAF">
        <w:t>circumstances</w:t>
      </w:r>
      <w:r w:rsidR="003F54D0">
        <w:t>.</w:t>
      </w:r>
      <w:r w:rsidR="00CC687B">
        <w:t xml:space="preserve"> For example, </w:t>
      </w:r>
      <w:r w:rsidR="00A816BA">
        <w:t>publically funded</w:t>
      </w:r>
      <w:r w:rsidR="0051644F">
        <w:t xml:space="preserve"> </w:t>
      </w:r>
      <w:r w:rsidR="00CC687B">
        <w:t>state universities</w:t>
      </w:r>
      <w:r>
        <w:t xml:space="preserve"> that have </w:t>
      </w:r>
      <w:r w:rsidR="00FA6439">
        <w:t>highly ranked</w:t>
      </w:r>
      <w:r>
        <w:t xml:space="preserve"> </w:t>
      </w:r>
      <w:r w:rsidR="00A03780">
        <w:t>STEM-B</w:t>
      </w:r>
      <w:r>
        <w:t xml:space="preserve"> programs but weak Hy-LIEs</w:t>
      </w:r>
      <w:r w:rsidR="006103F7">
        <w:t xml:space="preserve"> (i.e. University of Michigan, University of Wisconsin, and University of </w:t>
      </w:r>
      <w:r w:rsidR="00F91616">
        <w:t>Illinois</w:t>
      </w:r>
      <w:r w:rsidR="006103F7">
        <w:t xml:space="preserve">) </w:t>
      </w:r>
      <w:r w:rsidR="008D3A7C">
        <w:t xml:space="preserve">can’t </w:t>
      </w:r>
      <w:r w:rsidR="00B34060">
        <w:t xml:space="preserve">address this weakness by </w:t>
      </w:r>
      <w:r w:rsidR="0051644F">
        <w:t>branching-out with</w:t>
      </w:r>
      <w:r w:rsidR="008D3A7C">
        <w:t xml:space="preserve"> a sister campus in the robust Hy-LIE </w:t>
      </w:r>
      <w:r w:rsidR="000E539B">
        <w:t>of</w:t>
      </w:r>
      <w:r w:rsidR="008D3A7C">
        <w:t xml:space="preserve"> another state </w:t>
      </w:r>
      <w:r w:rsidR="00647052">
        <w:t>(i.e. California</w:t>
      </w:r>
      <w:r w:rsidR="0008360E">
        <w:t xml:space="preserve">) </w:t>
      </w:r>
      <w:r w:rsidR="008D3A7C">
        <w:t>– as that would be incons</w:t>
      </w:r>
      <w:r w:rsidR="0054653F">
        <w:t>istent with their state mandate</w:t>
      </w:r>
      <w:r w:rsidR="00B722D9">
        <w:t>.</w:t>
      </w:r>
      <w:r w:rsidR="008D3A7C">
        <w:t xml:space="preserve"> </w:t>
      </w:r>
      <w:r w:rsidR="009E6AFB">
        <w:t xml:space="preserve">Despite these variances, common </w:t>
      </w:r>
      <w:r w:rsidR="00F0266E">
        <w:t>practices</w:t>
      </w:r>
      <w:r w:rsidR="009E6AFB">
        <w:t xml:space="preserve"> are emerging as described below.</w:t>
      </w:r>
    </w:p>
    <w:p w14:paraId="58C67E6B" w14:textId="77777777" w:rsidR="00507260" w:rsidRDefault="00F752C9" w:rsidP="00AF60A2">
      <w:pPr>
        <w:pStyle w:val="Heading2"/>
      </w:pPr>
      <w:r>
        <w:lastRenderedPageBreak/>
        <w:t xml:space="preserve">The </w:t>
      </w:r>
      <w:r w:rsidR="00621840" w:rsidRPr="00621840">
        <w:t>Grow</w:t>
      </w:r>
      <w:r>
        <w:t xml:space="preserve"> Approach</w:t>
      </w:r>
      <w:r w:rsidR="00621840">
        <w:t xml:space="preserve"> </w:t>
      </w:r>
    </w:p>
    <w:p w14:paraId="51ECC615" w14:textId="77777777" w:rsidR="00AF60A2" w:rsidRPr="00FB1A9B" w:rsidRDefault="00AF60A2" w:rsidP="00A53569">
      <w:pPr>
        <w:pStyle w:val="BodyText"/>
        <w:rPr>
          <w:sz w:val="12"/>
        </w:rPr>
      </w:pPr>
    </w:p>
    <w:p w14:paraId="0377ED19" w14:textId="509E2EAE" w:rsidR="00843DBE" w:rsidRPr="00046E93" w:rsidRDefault="00AF60A2" w:rsidP="00A53569">
      <w:pPr>
        <w:pStyle w:val="BodyText"/>
      </w:pPr>
      <w:r>
        <w:t>F</w:t>
      </w:r>
      <w:r w:rsidR="00AF4AD6">
        <w:t xml:space="preserve">or </w:t>
      </w:r>
      <w:r w:rsidR="00673DB8">
        <w:t>years</w:t>
      </w:r>
      <w:r w:rsidR="00AF4AD6">
        <w:t xml:space="preserve">, universities have </w:t>
      </w:r>
      <w:r w:rsidR="00161C78">
        <w:t>pursued activities</w:t>
      </w:r>
      <w:r w:rsidR="00AF4AD6">
        <w:t xml:space="preserve"> to help catalyze </w:t>
      </w:r>
      <w:r w:rsidR="00A816BA">
        <w:t xml:space="preserve">and accelerate </w:t>
      </w:r>
      <w:r w:rsidR="00AF4AD6">
        <w:t xml:space="preserve">the commercialization of technologies developed on their campuses. These </w:t>
      </w:r>
      <w:r w:rsidR="00F40BC7">
        <w:t>activities</w:t>
      </w:r>
      <w:r w:rsidR="00A45470">
        <w:t xml:space="preserve"> include</w:t>
      </w:r>
      <w:r w:rsidR="00AF4AD6">
        <w:t xml:space="preserve"> patenting and licensing intellectual property, establishing lab-to-market programs, and running bus</w:t>
      </w:r>
      <w:r w:rsidR="009310FC">
        <w:t>iness plan competitions.  R</w:t>
      </w:r>
      <w:r w:rsidR="00AF4AD6">
        <w:t xml:space="preserve">ecently, many of these universities </w:t>
      </w:r>
      <w:r w:rsidR="00A45470">
        <w:t xml:space="preserve">have also </w:t>
      </w:r>
      <w:r w:rsidR="00161C78">
        <w:t>developed</w:t>
      </w:r>
      <w:r w:rsidR="00AF4AD6">
        <w:t xml:space="preserve"> strategies to</w:t>
      </w:r>
      <w:r w:rsidR="00190145">
        <w:t xml:space="preserve"> </w:t>
      </w:r>
      <w:r w:rsidR="00AF4AD6">
        <w:t xml:space="preserve">localize </w:t>
      </w:r>
      <w:r w:rsidR="00B35EFC">
        <w:t xml:space="preserve">their </w:t>
      </w:r>
      <w:r w:rsidR="00A816BA">
        <w:t>technology commercialization</w:t>
      </w:r>
      <w:r w:rsidR="00190145">
        <w:t xml:space="preserve">. </w:t>
      </w:r>
      <w:r w:rsidR="00AF4AD6">
        <w:t xml:space="preserve"> </w:t>
      </w:r>
      <w:r w:rsidR="00B35EFC">
        <w:t>Common strategies include est</w:t>
      </w:r>
      <w:r w:rsidR="00B55A93">
        <w:t xml:space="preserve">ablishing startup accelerators and </w:t>
      </w:r>
      <w:r w:rsidR="00B35EFC">
        <w:t xml:space="preserve">technology office parks, </w:t>
      </w:r>
      <w:r w:rsidR="00B55A93">
        <w:t>as well as</w:t>
      </w:r>
      <w:r w:rsidR="00B35EFC">
        <w:t xml:space="preserve"> collaborations with local government and </w:t>
      </w:r>
      <w:r w:rsidR="00A45470">
        <w:t xml:space="preserve">the </w:t>
      </w:r>
      <w:r w:rsidR="001F2EC7">
        <w:t>p</w:t>
      </w:r>
      <w:r w:rsidR="00B35EFC">
        <w:t>rivate sector.</w:t>
      </w:r>
      <w:r w:rsidR="001F2EC7">
        <w:t xml:space="preserve"> Each of these strategies is highlighted below. </w:t>
      </w:r>
    </w:p>
    <w:p w14:paraId="2ACF86EA" w14:textId="77777777" w:rsidR="00843DBE" w:rsidRDefault="00843DBE" w:rsidP="00A53569">
      <w:pPr>
        <w:pStyle w:val="BodyText"/>
        <w:rPr>
          <w:u w:val="single"/>
        </w:rPr>
      </w:pPr>
    </w:p>
    <w:p w14:paraId="03DE5F27" w14:textId="7A3DFDFC" w:rsidR="000A7C8E" w:rsidRDefault="006C11F4" w:rsidP="00A53569">
      <w:pPr>
        <w:pStyle w:val="BodyText"/>
      </w:pPr>
      <w:r w:rsidRPr="000D6FAA">
        <w:rPr>
          <w:color w:val="000090"/>
          <w:u w:val="single"/>
        </w:rPr>
        <w:t>Startup Accelerators</w:t>
      </w:r>
      <w:r>
        <w:t xml:space="preserve">: </w:t>
      </w:r>
      <w:r w:rsidR="003860C6">
        <w:t>A u</w:t>
      </w:r>
      <w:r w:rsidR="005D7BE8">
        <w:t>niversity startup accelerator</w:t>
      </w:r>
      <w:r w:rsidR="003860C6">
        <w:t xml:space="preserve"> provides </w:t>
      </w:r>
      <w:r w:rsidR="008C2BB9">
        <w:t xml:space="preserve">nascent companies with </w:t>
      </w:r>
      <w:r w:rsidR="0028266A">
        <w:t xml:space="preserve">entrepreneurship training as well as </w:t>
      </w:r>
      <w:r w:rsidR="003860C6">
        <w:t xml:space="preserve">mentoring </w:t>
      </w:r>
      <w:r w:rsidR="008C2BB9">
        <w:t xml:space="preserve">and funding </w:t>
      </w:r>
      <w:r w:rsidR="003860C6">
        <w:t>networks along with free or inexpensive office space, and sometimes equipment (i.e. wet labs for biotech startups).</w:t>
      </w:r>
      <w:r w:rsidR="005D7BE8">
        <w:t xml:space="preserve"> </w:t>
      </w:r>
      <w:r w:rsidR="00D547EF">
        <w:t>There</w:t>
      </w:r>
      <w:r w:rsidR="00B852C8">
        <w:t xml:space="preserve"> are</w:t>
      </w:r>
      <w:r w:rsidR="00507260">
        <w:t xml:space="preserve"> a </w:t>
      </w:r>
      <w:r w:rsidR="00D556E7">
        <w:t xml:space="preserve">large and </w:t>
      </w:r>
      <w:r w:rsidR="004E2AEA">
        <w:t>growing</w:t>
      </w:r>
      <w:r w:rsidR="005D7BE8">
        <w:t xml:space="preserve"> number of s</w:t>
      </w:r>
      <w:r w:rsidR="00507260">
        <w:t>tartup accelera</w:t>
      </w:r>
      <w:r w:rsidR="00D547EF">
        <w:t xml:space="preserve">tors. </w:t>
      </w:r>
      <w:r w:rsidR="007204B3">
        <w:t>Therefore, in order to distinguish their value propositions</w:t>
      </w:r>
      <w:r w:rsidR="00D547EF">
        <w:t xml:space="preserve">, </w:t>
      </w:r>
      <w:r w:rsidR="001A5D8D">
        <w:t xml:space="preserve">many </w:t>
      </w:r>
      <w:r w:rsidR="00507260">
        <w:t xml:space="preserve">university startup accelerators </w:t>
      </w:r>
      <w:r w:rsidR="007204B3">
        <w:t>are</w:t>
      </w:r>
      <w:r w:rsidR="00EE0BA5">
        <w:t xml:space="preserve"> </w:t>
      </w:r>
      <w:r w:rsidR="00855009">
        <w:t xml:space="preserve">deeply </w:t>
      </w:r>
      <w:r w:rsidR="00507260">
        <w:t>integrat</w:t>
      </w:r>
      <w:r w:rsidR="007204B3">
        <w:t xml:space="preserve">ed </w:t>
      </w:r>
      <w:r w:rsidR="00507260">
        <w:t>into the</w:t>
      </w:r>
      <w:r w:rsidR="00FE3003">
        <w:t>ir campus’s</w:t>
      </w:r>
      <w:r w:rsidR="00507260">
        <w:t xml:space="preserve"> research, education and service </w:t>
      </w:r>
      <w:r w:rsidR="00AB67E2">
        <w:t>programs</w:t>
      </w:r>
      <w:r w:rsidR="006F16AB">
        <w:t xml:space="preserve"> (Figure 5</w:t>
      </w:r>
      <w:r w:rsidR="00A45470">
        <w:t>)</w:t>
      </w:r>
      <w:r w:rsidR="00507260">
        <w:t xml:space="preserve">. </w:t>
      </w:r>
      <w:r w:rsidR="00CF0D8C">
        <w:t xml:space="preserve">This integration necessitates that the accelerator is </w:t>
      </w:r>
      <w:r w:rsidR="00D556E7">
        <w:t xml:space="preserve">located </w:t>
      </w:r>
      <w:r w:rsidR="00CF0D8C">
        <w:t xml:space="preserve">within the Hy-LIE of the campus. </w:t>
      </w:r>
    </w:p>
    <w:p w14:paraId="4978F384" w14:textId="77777777" w:rsidR="000A7C8E" w:rsidRDefault="000A7C8E" w:rsidP="00A53569">
      <w:pPr>
        <w:pStyle w:val="BodyText"/>
      </w:pPr>
    </w:p>
    <w:p w14:paraId="3FA440E6" w14:textId="04F516D1" w:rsidR="009E6AFB" w:rsidRDefault="00CF0D8C" w:rsidP="00A53569">
      <w:pPr>
        <w:pStyle w:val="BodyText"/>
      </w:pPr>
      <w:r>
        <w:t xml:space="preserve">In addition to helping startups </w:t>
      </w:r>
      <w:r w:rsidR="00617FEA">
        <w:t>progress</w:t>
      </w:r>
      <w:r>
        <w:t xml:space="preserve">, these university startup accelerators can grow their Hy-LIE because </w:t>
      </w:r>
      <w:r w:rsidR="00505A18">
        <w:t>as</w:t>
      </w:r>
      <w:r>
        <w:t xml:space="preserve"> a startup </w:t>
      </w:r>
      <w:r w:rsidR="000D6FAA">
        <w:t>expands</w:t>
      </w:r>
      <w:r>
        <w:t xml:space="preserve"> to a certain </w:t>
      </w:r>
      <w:r w:rsidR="00D556E7">
        <w:t>number</w:t>
      </w:r>
      <w:r>
        <w:t xml:space="preserve"> of employees </w:t>
      </w:r>
      <w:r w:rsidR="00D556E7">
        <w:t>(some estimate 10</w:t>
      </w:r>
      <w:r w:rsidR="00505A18">
        <w:t>-15</w:t>
      </w:r>
      <w:r w:rsidR="00AB67E2">
        <w:t xml:space="preserve"> employees</w:t>
      </w:r>
      <w:r w:rsidR="00505A18">
        <w:t xml:space="preserve">) </w:t>
      </w:r>
      <w:r>
        <w:t>and establishes business relationsh</w:t>
      </w:r>
      <w:r w:rsidR="00505A18">
        <w:t xml:space="preserve">ips in its </w:t>
      </w:r>
      <w:r w:rsidR="00617FEA">
        <w:t>community</w:t>
      </w:r>
      <w:r w:rsidR="00505A18">
        <w:t xml:space="preserve">, then </w:t>
      </w:r>
      <w:r w:rsidR="00617FEA">
        <w:t xml:space="preserve">those employees and business relationships </w:t>
      </w:r>
      <w:r w:rsidR="00265574">
        <w:t xml:space="preserve">make </w:t>
      </w:r>
      <w:r w:rsidR="00617FEA">
        <w:t>the growing</w:t>
      </w:r>
      <w:r w:rsidR="00F61769">
        <w:t xml:space="preserve"> company</w:t>
      </w:r>
      <w:r w:rsidR="00265574">
        <w:t xml:space="preserve"> </w:t>
      </w:r>
      <w:r>
        <w:t xml:space="preserve">less </w:t>
      </w:r>
      <w:r w:rsidR="000D6FAA">
        <w:t>incline</w:t>
      </w:r>
      <w:r>
        <w:t xml:space="preserve"> to </w:t>
      </w:r>
      <w:r w:rsidR="00AB67E2">
        <w:t>relocate to a different region</w:t>
      </w:r>
      <w:r>
        <w:t>.</w:t>
      </w:r>
    </w:p>
    <w:p w14:paraId="1B5A7E70" w14:textId="77777777" w:rsidR="009E6AFB" w:rsidRDefault="009E6AFB" w:rsidP="00443A07">
      <w:pPr>
        <w:pStyle w:val="BodyText"/>
      </w:pPr>
    </w:p>
    <w:p w14:paraId="79B16214" w14:textId="4B6D775D" w:rsidR="0007235D" w:rsidRDefault="00F52AFC" w:rsidP="00443A07">
      <w:pPr>
        <w:pStyle w:val="BodyText"/>
      </w:pPr>
      <w:r>
        <w:t xml:space="preserve">Examples of university startup accelerators include Georgia Tech’s </w:t>
      </w:r>
      <w:r w:rsidR="008F1323">
        <w:t>30 year-old</w:t>
      </w:r>
      <w:r w:rsidR="00A10DE2">
        <w:t xml:space="preserve"> Advanced Technology Development Center, </w:t>
      </w:r>
      <w:r w:rsidR="001D2209">
        <w:t xml:space="preserve">Yale’s </w:t>
      </w:r>
      <w:proofErr w:type="spellStart"/>
      <w:r w:rsidR="001D2209">
        <w:t>CTech@Science</w:t>
      </w:r>
      <w:proofErr w:type="spellEnd"/>
      <w:r w:rsidR="001D2209">
        <w:t xml:space="preserve"> Park, </w:t>
      </w:r>
      <w:r w:rsidR="00B44EEE">
        <w:t xml:space="preserve">University of Utah’s accelerator, </w:t>
      </w:r>
      <w:r w:rsidR="0074570E">
        <w:t>the 1-year old University of Michigan Venture Accelerator</w:t>
      </w:r>
      <w:r w:rsidR="00717D50">
        <w:t xml:space="preserve">, Stanford’s student-run </w:t>
      </w:r>
      <w:proofErr w:type="spellStart"/>
      <w:r w:rsidR="00717D50">
        <w:t>StartX</w:t>
      </w:r>
      <w:proofErr w:type="spellEnd"/>
      <w:r w:rsidR="0074570E">
        <w:t xml:space="preserve">, </w:t>
      </w:r>
      <w:r w:rsidR="00921057">
        <w:t>as well as</w:t>
      </w:r>
      <w:r w:rsidR="00A10DE2">
        <w:t xml:space="preserve"> </w:t>
      </w:r>
      <w:r w:rsidR="00921057">
        <w:t>the recently launched University of Washington</w:t>
      </w:r>
      <w:r w:rsidR="00757439">
        <w:t>’s</w:t>
      </w:r>
      <w:r w:rsidR="001C1834">
        <w:t xml:space="preserve"> C4C. </w:t>
      </w:r>
      <w:r w:rsidR="00790AB3">
        <w:t>UC Berkeley</w:t>
      </w:r>
      <w:r w:rsidR="00D23996">
        <w:t>’s</w:t>
      </w:r>
      <w:r w:rsidR="00790AB3">
        <w:t xml:space="preserve"> </w:t>
      </w:r>
      <w:proofErr w:type="spellStart"/>
      <w:r w:rsidR="007A3980">
        <w:t>Skydeck</w:t>
      </w:r>
      <w:proofErr w:type="spellEnd"/>
      <w:r w:rsidR="001C1834">
        <w:t xml:space="preserve"> is an example </w:t>
      </w:r>
      <w:r w:rsidR="005F614D">
        <w:t xml:space="preserve">of an </w:t>
      </w:r>
      <w:r w:rsidR="00642838">
        <w:t xml:space="preserve">information technology </w:t>
      </w:r>
      <w:r w:rsidR="005F614D">
        <w:t>accelerator</w:t>
      </w:r>
      <w:r w:rsidR="001C1834">
        <w:t xml:space="preserve"> that is largely funded by its university, and Berkeley’s </w:t>
      </w:r>
      <w:r w:rsidR="00125EBE">
        <w:t xml:space="preserve">wet-lab incubator – the </w:t>
      </w:r>
      <w:r w:rsidR="001C1834">
        <w:t xml:space="preserve">QB3 East Bay </w:t>
      </w:r>
      <w:r w:rsidR="001C1834">
        <w:lastRenderedPageBreak/>
        <w:t>Innovation Center</w:t>
      </w:r>
      <w:r w:rsidR="00125EBE">
        <w:t>,</w:t>
      </w:r>
      <w:r w:rsidR="001C1834">
        <w:t xml:space="preserve"> is an</w:t>
      </w:r>
      <w:r w:rsidR="001E2896">
        <w:t xml:space="preserve"> example of a biotech </w:t>
      </w:r>
      <w:r w:rsidR="00125EBE">
        <w:t>accelerator this is privately fund</w:t>
      </w:r>
      <w:r w:rsidR="001E2896">
        <w:t>ed (by Wareham Development</w:t>
      </w:r>
      <w:r w:rsidR="00E91625">
        <w:t xml:space="preserve"> Inc</w:t>
      </w:r>
      <w:r w:rsidR="00125EBE">
        <w:t>)</w:t>
      </w:r>
      <w:r w:rsidR="001C1834">
        <w:t>.</w:t>
      </w:r>
    </w:p>
    <w:p w14:paraId="250C9FD7" w14:textId="77777777" w:rsidR="0007235D" w:rsidRDefault="0007235D" w:rsidP="00443A07">
      <w:pPr>
        <w:pStyle w:val="BodyText"/>
      </w:pPr>
    </w:p>
    <w:p w14:paraId="705CB745" w14:textId="016E9602" w:rsidR="0017122D" w:rsidRDefault="00AC3235" w:rsidP="00011531">
      <w:pPr>
        <w:pStyle w:val="BodyText"/>
        <w:jc w:val="center"/>
        <w:rPr>
          <w:b/>
        </w:rPr>
      </w:pPr>
      <w:r>
        <w:rPr>
          <w:b/>
        </w:rPr>
        <w:t>Figure 5</w:t>
      </w:r>
      <w:r w:rsidR="00011531">
        <w:rPr>
          <w:b/>
        </w:rPr>
        <w:t>:</w:t>
      </w:r>
      <w:r w:rsidR="0007235D" w:rsidRPr="00011531">
        <w:rPr>
          <w:b/>
        </w:rPr>
        <w:t xml:space="preserve"> </w:t>
      </w:r>
      <w:r w:rsidR="00011531">
        <w:rPr>
          <w:b/>
        </w:rPr>
        <w:t xml:space="preserve"> </w:t>
      </w:r>
      <w:r w:rsidR="0087519E" w:rsidRPr="00011531">
        <w:rPr>
          <w:b/>
        </w:rPr>
        <w:t>University</w:t>
      </w:r>
      <w:r w:rsidR="0007235D" w:rsidRPr="00011531">
        <w:rPr>
          <w:b/>
        </w:rPr>
        <w:t xml:space="preserve"> Startup Accelerators</w:t>
      </w:r>
      <w:r w:rsidR="00011531">
        <w:rPr>
          <w:b/>
        </w:rPr>
        <w:t xml:space="preserve"> V</w:t>
      </w:r>
      <w:r w:rsidR="00011531" w:rsidRPr="00011531">
        <w:rPr>
          <w:b/>
        </w:rPr>
        <w:t>ersu</w:t>
      </w:r>
      <w:r w:rsidR="0087519E" w:rsidRPr="00011531">
        <w:rPr>
          <w:b/>
        </w:rPr>
        <w:t>s Other Accelerators</w:t>
      </w:r>
    </w:p>
    <w:p w14:paraId="2FEFCCCD" w14:textId="77777777" w:rsidR="00011531" w:rsidRPr="0017122D" w:rsidRDefault="00011531" w:rsidP="0017122D">
      <w:pPr>
        <w:pStyle w:val="BodyText"/>
        <w:rPr>
          <w:b/>
          <w:sz w:val="8"/>
        </w:rPr>
      </w:pPr>
    </w:p>
    <w:p w14:paraId="1D909C55" w14:textId="77777777" w:rsidR="006F40C9" w:rsidRDefault="00011531" w:rsidP="00C2518E">
      <w:pPr>
        <w:pStyle w:val="BodyText"/>
      </w:pPr>
      <w:r w:rsidRPr="00011531">
        <w:rPr>
          <w:noProof/>
        </w:rPr>
        <w:drawing>
          <wp:inline distT="0" distB="0" distL="0" distR="0" wp14:anchorId="5422D263" wp14:editId="56EDF9E1">
            <wp:extent cx="5713730" cy="3089910"/>
            <wp:effectExtent l="50800" t="25400" r="2667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089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A23C6" w14:textId="77777777" w:rsidR="00011531" w:rsidRDefault="00011531" w:rsidP="00C2518E">
      <w:pPr>
        <w:pStyle w:val="BodyText"/>
        <w:rPr>
          <w:u w:val="single"/>
        </w:rPr>
      </w:pPr>
    </w:p>
    <w:p w14:paraId="18CB33EE" w14:textId="77777777" w:rsidR="00A14C9F" w:rsidRDefault="009A56C2" w:rsidP="00C2518E">
      <w:pPr>
        <w:pStyle w:val="BodyText"/>
      </w:pPr>
      <w:r w:rsidRPr="000D6FAA">
        <w:rPr>
          <w:color w:val="000090"/>
          <w:u w:val="single"/>
        </w:rPr>
        <w:t>Technology Office Parks</w:t>
      </w:r>
      <w:r>
        <w:t xml:space="preserve">:  Some </w:t>
      </w:r>
      <w:r w:rsidR="002E3E4A">
        <w:t>universities</w:t>
      </w:r>
      <w:r>
        <w:t xml:space="preserve"> </w:t>
      </w:r>
      <w:r w:rsidR="00E03B25">
        <w:t xml:space="preserve">use </w:t>
      </w:r>
      <w:r w:rsidR="00B60FBE">
        <w:t xml:space="preserve">their </w:t>
      </w:r>
      <w:r w:rsidR="00E03B25">
        <w:t>real estate</w:t>
      </w:r>
      <w:r w:rsidR="00B60FBE">
        <w:t xml:space="preserve"> </w:t>
      </w:r>
      <w:r w:rsidR="00E03B25">
        <w:t xml:space="preserve">resources </w:t>
      </w:r>
      <w:r w:rsidR="00B60FBE">
        <w:t xml:space="preserve">and financing capabilities to establish </w:t>
      </w:r>
      <w:r>
        <w:t>technology office parks</w:t>
      </w:r>
      <w:r w:rsidR="00596D16">
        <w:t xml:space="preserve"> in the vicinity of their campuses.</w:t>
      </w:r>
      <w:r w:rsidR="00B60FBE">
        <w:t xml:space="preserve"> These parks</w:t>
      </w:r>
      <w:r>
        <w:t xml:space="preserve"> </w:t>
      </w:r>
      <w:r w:rsidR="00596D16">
        <w:t xml:space="preserve">attract </w:t>
      </w:r>
      <w:r>
        <w:t xml:space="preserve">large and </w:t>
      </w:r>
      <w:r w:rsidR="00596D16">
        <w:t>midsize</w:t>
      </w:r>
      <w:r w:rsidR="00C22754">
        <w:t xml:space="preserve"> </w:t>
      </w:r>
      <w:r w:rsidR="00FF40DE">
        <w:t>technology and applied sciences</w:t>
      </w:r>
      <w:r>
        <w:t xml:space="preserve"> companies to </w:t>
      </w:r>
      <w:r w:rsidR="00B60FBE">
        <w:t>a university’s</w:t>
      </w:r>
      <w:r>
        <w:t xml:space="preserve"> Hy-LIEs. </w:t>
      </w:r>
      <w:r w:rsidR="00B60FBE">
        <w:t>Recently</w:t>
      </w:r>
      <w:r w:rsidR="009253CA">
        <w:t xml:space="preserve">, </w:t>
      </w:r>
      <w:r w:rsidR="00D40558">
        <w:t>many of</w:t>
      </w:r>
      <w:r w:rsidR="009253CA">
        <w:t xml:space="preserve"> office parks </w:t>
      </w:r>
      <w:r w:rsidR="00596D16">
        <w:t xml:space="preserve">have been </w:t>
      </w:r>
      <w:r w:rsidR="0073150E">
        <w:t>configure</w:t>
      </w:r>
      <w:r w:rsidR="00D40558">
        <w:t>d</w:t>
      </w:r>
      <w:r w:rsidR="009253CA">
        <w:t xml:space="preserve"> </w:t>
      </w:r>
      <w:r w:rsidR="00596D16">
        <w:t>to also include office space that</w:t>
      </w:r>
      <w:r w:rsidR="00B60FBE">
        <w:t xml:space="preserve"> is </w:t>
      </w:r>
      <w:r w:rsidR="009253CA">
        <w:t xml:space="preserve">conducive to startups. </w:t>
      </w:r>
    </w:p>
    <w:p w14:paraId="4693F280" w14:textId="77777777" w:rsidR="00A14C9F" w:rsidRDefault="00A14C9F" w:rsidP="00C2518E">
      <w:pPr>
        <w:pStyle w:val="BodyText"/>
      </w:pPr>
    </w:p>
    <w:p w14:paraId="34CAE574" w14:textId="77777777" w:rsidR="00983CB1" w:rsidRDefault="00F33401" w:rsidP="00C2518E">
      <w:pPr>
        <w:pStyle w:val="BodyText"/>
      </w:pPr>
      <w:r>
        <w:t>E</w:t>
      </w:r>
      <w:r w:rsidR="00055584">
        <w:t xml:space="preserve">xamples </w:t>
      </w:r>
      <w:r>
        <w:t>of university office parks include,</w:t>
      </w:r>
      <w:r w:rsidR="00055584">
        <w:t xml:space="preserve"> the University Technology Park at Illinois Institute of Technology, </w:t>
      </w:r>
      <w:r w:rsidR="004431FB">
        <w:t xml:space="preserve">University of Wisconsin-Madison Research Park, </w:t>
      </w:r>
      <w:r w:rsidR="00081CE1">
        <w:t xml:space="preserve">Purdue </w:t>
      </w:r>
      <w:r w:rsidR="00F371CA">
        <w:t>Research Park</w:t>
      </w:r>
      <w:r>
        <w:t>, and Stanford’s research park – founded back in the 1950’s.</w:t>
      </w:r>
    </w:p>
    <w:p w14:paraId="66D15B85" w14:textId="77777777" w:rsidR="004F2B49" w:rsidRDefault="004F2B49" w:rsidP="00C2518E">
      <w:pPr>
        <w:pStyle w:val="BodyText"/>
      </w:pPr>
    </w:p>
    <w:p w14:paraId="08B0E8FE" w14:textId="2DB9D028" w:rsidR="002D33A8" w:rsidRDefault="00446E9E" w:rsidP="004F2B49">
      <w:pPr>
        <w:pStyle w:val="BodyText"/>
      </w:pPr>
      <w:r w:rsidRPr="008E49BB">
        <w:rPr>
          <w:color w:val="000090"/>
          <w:u w:val="single"/>
        </w:rPr>
        <w:t xml:space="preserve">Government &amp; Private Sector </w:t>
      </w:r>
      <w:r w:rsidR="00D23996" w:rsidRPr="008E49BB">
        <w:rPr>
          <w:color w:val="000090"/>
          <w:u w:val="single"/>
        </w:rPr>
        <w:t>Collaborations</w:t>
      </w:r>
      <w:r w:rsidR="00D23996">
        <w:t xml:space="preserve">:  </w:t>
      </w:r>
      <w:r>
        <w:t>Many universities have teamed-up with</w:t>
      </w:r>
      <w:r w:rsidR="00C40BAA">
        <w:t xml:space="preserve"> their local government</w:t>
      </w:r>
      <w:r>
        <w:t xml:space="preserve"> and private sector to establish</w:t>
      </w:r>
      <w:r w:rsidR="004A32C7">
        <w:t xml:space="preserve"> Hy-LIE development </w:t>
      </w:r>
      <w:r>
        <w:t xml:space="preserve">initiatives. </w:t>
      </w:r>
      <w:r w:rsidR="00E96E70">
        <w:t>Indeed</w:t>
      </w:r>
      <w:r w:rsidR="004A32C7">
        <w:t>,</w:t>
      </w:r>
      <w:r w:rsidR="00E96E70">
        <w:t xml:space="preserve"> </w:t>
      </w:r>
      <w:r>
        <w:t xml:space="preserve">many office parks and </w:t>
      </w:r>
      <w:r w:rsidR="00E96E70">
        <w:t xml:space="preserve">startup accelerators </w:t>
      </w:r>
      <w:r>
        <w:t>have resulted from these collaborations. For ex</w:t>
      </w:r>
      <w:r w:rsidR="004A32C7">
        <w:t>ample, the biotech</w:t>
      </w:r>
      <w:r>
        <w:t xml:space="preserve"> incubator in West Berkeley (the QB3 East Bay </w:t>
      </w:r>
      <w:r>
        <w:lastRenderedPageBreak/>
        <w:t xml:space="preserve">Innovation Center) was co-founded by a collaboration between UC Berkeley, UC San Francisco, </w:t>
      </w:r>
      <w:r w:rsidR="00004959">
        <w:t xml:space="preserve">the </w:t>
      </w:r>
      <w:r w:rsidR="00FA4520">
        <w:t xml:space="preserve">Lawrence </w:t>
      </w:r>
      <w:r w:rsidR="00004959">
        <w:t xml:space="preserve">Berkeley National Lab, </w:t>
      </w:r>
      <w:r>
        <w:t xml:space="preserve">the City of Berkeley </w:t>
      </w:r>
      <w:r w:rsidR="004A32C7">
        <w:t>government</w:t>
      </w:r>
      <w:r w:rsidR="00C40BAA">
        <w:t xml:space="preserve">, and the Wareham Development – a for-profit, </w:t>
      </w:r>
      <w:r>
        <w:t xml:space="preserve">office </w:t>
      </w:r>
      <w:r w:rsidR="00C40BAA">
        <w:t xml:space="preserve">building </w:t>
      </w:r>
      <w:r>
        <w:t xml:space="preserve">developer and operator. </w:t>
      </w:r>
    </w:p>
    <w:p w14:paraId="05E70C6D" w14:textId="77777777" w:rsidR="002D33A8" w:rsidRDefault="002D33A8" w:rsidP="004F2B49">
      <w:pPr>
        <w:pStyle w:val="BodyText"/>
      </w:pPr>
    </w:p>
    <w:p w14:paraId="0BD47543" w14:textId="1AA6C064" w:rsidR="002D33A8" w:rsidRDefault="002D33A8" w:rsidP="004F2B49">
      <w:pPr>
        <w:pStyle w:val="BodyText"/>
      </w:pPr>
      <w:r>
        <w:t xml:space="preserve">The San Diego-based CONNECT organization is a </w:t>
      </w:r>
      <w:r w:rsidR="007F33B7">
        <w:t xml:space="preserve">long-time, </w:t>
      </w:r>
      <w:r>
        <w:t xml:space="preserve">successful example of a </w:t>
      </w:r>
      <w:r w:rsidR="001E5B85">
        <w:t xml:space="preserve">Hy-LIE development </w:t>
      </w:r>
      <w:r>
        <w:t xml:space="preserve">collaboration </w:t>
      </w:r>
      <w:r w:rsidR="005E5D6A">
        <w:t>between</w:t>
      </w:r>
      <w:r w:rsidR="001E5B85">
        <w:t xml:space="preserve"> UC San Diego</w:t>
      </w:r>
      <w:r>
        <w:t xml:space="preserve"> </w:t>
      </w:r>
      <w:r w:rsidR="005E5D6A">
        <w:t>along with</w:t>
      </w:r>
      <w:r>
        <w:t xml:space="preserve"> its local private sector and government.</w:t>
      </w:r>
      <w:r w:rsidR="007F33B7">
        <w:t xml:space="preserve"> More recently, the East Bay Green Corridor </w:t>
      </w:r>
      <w:r w:rsidR="005D64A6">
        <w:t>and the Berkeley Startup Cluster are</w:t>
      </w:r>
      <w:r w:rsidR="007F33B7">
        <w:t xml:space="preserve"> example</w:t>
      </w:r>
      <w:r w:rsidR="005D64A6">
        <w:t>s</w:t>
      </w:r>
      <w:r w:rsidR="00AC455C">
        <w:t xml:space="preserve"> of</w:t>
      </w:r>
      <w:r w:rsidR="007F33B7">
        <w:t xml:space="preserve"> </w:t>
      </w:r>
      <w:r w:rsidR="005D64A6">
        <w:t>Hy-LIE</w:t>
      </w:r>
      <w:r w:rsidR="007F33B7">
        <w:t xml:space="preserve"> i</w:t>
      </w:r>
      <w:r w:rsidR="00F60764">
        <w:t>nitiative</w:t>
      </w:r>
      <w:r w:rsidR="00AC455C">
        <w:t>s</w:t>
      </w:r>
      <w:r w:rsidR="00F60764">
        <w:t xml:space="preserve"> between </w:t>
      </w:r>
      <w:r w:rsidR="00D0211C">
        <w:t>UC Berkeley</w:t>
      </w:r>
      <w:r w:rsidR="007F33B7">
        <w:t xml:space="preserve">, </w:t>
      </w:r>
      <w:r w:rsidR="001E5B85">
        <w:t xml:space="preserve">the Lawrence </w:t>
      </w:r>
      <w:r w:rsidR="007F33B7">
        <w:t>Berkeley Natio</w:t>
      </w:r>
      <w:r w:rsidR="009024F2">
        <w:t>na</w:t>
      </w:r>
      <w:r w:rsidR="001E5B85">
        <w:t>l Lab,</w:t>
      </w:r>
      <w:r w:rsidR="009024F2">
        <w:t xml:space="preserve"> and local governments</w:t>
      </w:r>
      <w:r w:rsidR="00FB1708">
        <w:t xml:space="preserve">. </w:t>
      </w:r>
    </w:p>
    <w:p w14:paraId="70A33FA3" w14:textId="77777777" w:rsidR="00636A26" w:rsidRDefault="00636A26" w:rsidP="00C2518E">
      <w:pPr>
        <w:pStyle w:val="BodyText"/>
      </w:pPr>
    </w:p>
    <w:p w14:paraId="41CD482D" w14:textId="77777777" w:rsidR="00F752C9" w:rsidRDefault="00F752C9" w:rsidP="00C2518E">
      <w:pPr>
        <w:pStyle w:val="BodyText"/>
      </w:pPr>
      <w:r>
        <w:rPr>
          <w:rStyle w:val="Heading2Char"/>
        </w:rPr>
        <w:t xml:space="preserve">The </w:t>
      </w:r>
      <w:r w:rsidR="00536512" w:rsidRPr="00F752C9">
        <w:rPr>
          <w:rStyle w:val="Heading2Char"/>
        </w:rPr>
        <w:t>Branch</w:t>
      </w:r>
      <w:r>
        <w:rPr>
          <w:rStyle w:val="Heading2Char"/>
        </w:rPr>
        <w:t xml:space="preserve"> Approach</w:t>
      </w:r>
    </w:p>
    <w:p w14:paraId="7B56B8D7" w14:textId="4AC69D43" w:rsidR="004F4170" w:rsidRDefault="00536512" w:rsidP="00C2518E">
      <w:pPr>
        <w:pStyle w:val="BodyText"/>
      </w:pPr>
      <w:r>
        <w:t xml:space="preserve">Over the past decade, </w:t>
      </w:r>
      <w:r w:rsidR="00843DBE">
        <w:t>an increasing number of</w:t>
      </w:r>
      <w:r>
        <w:t xml:space="preserve"> universities have </w:t>
      </w:r>
      <w:r w:rsidR="00843DBE">
        <w:t>established</w:t>
      </w:r>
      <w:r>
        <w:t xml:space="preserve"> sister campuses in </w:t>
      </w:r>
      <w:r w:rsidR="00C671B1">
        <w:t>world-class</w:t>
      </w:r>
      <w:r w:rsidR="000D17F3">
        <w:t xml:space="preserve"> Hy-LIEs</w:t>
      </w:r>
      <w:r>
        <w:t xml:space="preserve"> </w:t>
      </w:r>
      <w:r w:rsidR="00793487">
        <w:t>– often</w:t>
      </w:r>
      <w:r w:rsidR="000D17F3">
        <w:t>,</w:t>
      </w:r>
      <w:r w:rsidR="00793487">
        <w:t xml:space="preserve"> to</w:t>
      </w:r>
      <w:r>
        <w:t xml:space="preserve"> offset the </w:t>
      </w:r>
      <w:r w:rsidR="004771F2">
        <w:t xml:space="preserve">inherently </w:t>
      </w:r>
      <w:r>
        <w:t>wea</w:t>
      </w:r>
      <w:r w:rsidR="00FA4520">
        <w:t>k Hy-LIEs of their home campus locations</w:t>
      </w:r>
      <w:r>
        <w:t xml:space="preserve">. </w:t>
      </w:r>
      <w:r w:rsidR="00332C55">
        <w:t xml:space="preserve">The most common location for these sister campuses is Silicon Valley, however Beijing is also emerging as a </w:t>
      </w:r>
      <w:r w:rsidR="00FA4520">
        <w:t>popular</w:t>
      </w:r>
      <w:r w:rsidR="00332C55">
        <w:t xml:space="preserve"> destination of a sister campus. </w:t>
      </w:r>
    </w:p>
    <w:p w14:paraId="48FE0FC8" w14:textId="77777777" w:rsidR="009714FC" w:rsidRDefault="008163C2" w:rsidP="00C2518E">
      <w:pPr>
        <w:pStyle w:val="BodyText"/>
      </w:pPr>
      <w:r>
        <w:t>Three</w:t>
      </w:r>
      <w:r w:rsidR="00817DE6">
        <w:t xml:space="preserve"> examples </w:t>
      </w:r>
      <w:r w:rsidR="00525C5E">
        <w:t xml:space="preserve">of this branch-out approach </w:t>
      </w:r>
      <w:r w:rsidR="00817DE6">
        <w:t>are highlighted below.</w:t>
      </w:r>
    </w:p>
    <w:p w14:paraId="55B05946" w14:textId="77777777" w:rsidR="003F54D0" w:rsidRDefault="003F54D0"/>
    <w:p w14:paraId="695DC8AA" w14:textId="3745B6DE" w:rsidR="00F8082E" w:rsidRDefault="00817DE6" w:rsidP="00041ED2">
      <w:pPr>
        <w:pStyle w:val="BodyText"/>
      </w:pPr>
      <w:r w:rsidRPr="000D6FAA">
        <w:rPr>
          <w:color w:val="000090"/>
          <w:u w:val="single"/>
        </w:rPr>
        <w:t>Cornell Branches-out to NYC</w:t>
      </w:r>
      <w:r>
        <w:t xml:space="preserve">:  </w:t>
      </w:r>
      <w:r w:rsidR="000D6E9A">
        <w:t>Perhaps the most aggressive</w:t>
      </w:r>
      <w:r w:rsidR="00F60764">
        <w:t xml:space="preserve"> example of a university with </w:t>
      </w:r>
      <w:r w:rsidR="000D6E9A">
        <w:t xml:space="preserve">top </w:t>
      </w:r>
      <w:r w:rsidR="00A03780">
        <w:t>STEM-B</w:t>
      </w:r>
      <w:r w:rsidR="000D6E9A">
        <w:t xml:space="preserve"> program</w:t>
      </w:r>
      <w:r w:rsidR="00F60764">
        <w:t>s</w:t>
      </w:r>
      <w:r w:rsidR="000D6E9A">
        <w:t xml:space="preserve"> that is </w:t>
      </w:r>
      <w:r w:rsidR="00EE1A93">
        <w:t>responding to</w:t>
      </w:r>
      <w:r w:rsidR="00362664">
        <w:t xml:space="preserve"> its weak Hy-LIE is Cornell. It</w:t>
      </w:r>
      <w:r w:rsidR="00EE1A93">
        <w:t>s location in</w:t>
      </w:r>
      <w:r w:rsidR="009E6078">
        <w:t xml:space="preserve"> Ithaca NY is </w:t>
      </w:r>
      <w:r w:rsidR="00181BBF">
        <w:t xml:space="preserve">not amenable </w:t>
      </w:r>
      <w:r w:rsidR="009E6078">
        <w:t xml:space="preserve">to growing a critical mass Hy-LIE. Therefore, </w:t>
      </w:r>
      <w:r w:rsidR="005E48FC">
        <w:t xml:space="preserve">in 2011 </w:t>
      </w:r>
      <w:r w:rsidR="009E6078">
        <w:t xml:space="preserve">when the </w:t>
      </w:r>
      <w:r w:rsidR="005E48FC">
        <w:t>competition</w:t>
      </w:r>
      <w:r w:rsidR="009E6078">
        <w:t xml:space="preserve"> arose to establish a</w:t>
      </w:r>
      <w:r w:rsidR="004108DC">
        <w:t>n engineering</w:t>
      </w:r>
      <w:r w:rsidR="009E6078">
        <w:t xml:space="preserve"> campus in New York City, Cornell responded with a $350 million commitment and a partnership wit</w:t>
      </w:r>
      <w:r w:rsidR="009E7763">
        <w:t xml:space="preserve">h Israel’s </w:t>
      </w:r>
      <w:proofErr w:type="spellStart"/>
      <w:r w:rsidR="009E7763">
        <w:t>Technion</w:t>
      </w:r>
      <w:proofErr w:type="spellEnd"/>
      <w:r w:rsidR="009E7763">
        <w:t xml:space="preserve"> University</w:t>
      </w:r>
      <w:r w:rsidR="009E6078">
        <w:t>.</w:t>
      </w:r>
      <w:r w:rsidR="003D594C">
        <w:t xml:space="preserve"> N</w:t>
      </w:r>
      <w:r w:rsidR="004149DB">
        <w:t>ew York City has a robust Hy-LIE,</w:t>
      </w:r>
      <w:r w:rsidR="003D594C">
        <w:t xml:space="preserve"> especially in the software and internet sector. The addition of Cornel</w:t>
      </w:r>
      <w:r w:rsidR="002F50E4">
        <w:t>l</w:t>
      </w:r>
      <w:r w:rsidR="003D594C">
        <w:t xml:space="preserve"> and </w:t>
      </w:r>
      <w:proofErr w:type="spellStart"/>
      <w:r w:rsidR="003D594C">
        <w:t>Technion</w:t>
      </w:r>
      <w:proofErr w:type="spellEnd"/>
      <w:r w:rsidR="003D594C">
        <w:t xml:space="preserve"> along with Columbia will solidify the Big Apple as a world-class Hy-LIE</w:t>
      </w:r>
      <w:r w:rsidR="00F8082E">
        <w:t>.</w:t>
      </w:r>
    </w:p>
    <w:p w14:paraId="4DE813B9" w14:textId="77777777" w:rsidR="00F8082E" w:rsidRDefault="00F8082E" w:rsidP="00041ED2">
      <w:pPr>
        <w:pStyle w:val="BodyText"/>
      </w:pPr>
    </w:p>
    <w:p w14:paraId="5B49849C" w14:textId="521EFB05" w:rsidR="00F95515" w:rsidRDefault="00F8082E" w:rsidP="00DF0403">
      <w:pPr>
        <w:pStyle w:val="BodyText"/>
      </w:pPr>
      <w:r w:rsidRPr="000D6FAA">
        <w:rPr>
          <w:color w:val="000090"/>
          <w:u w:val="single"/>
        </w:rPr>
        <w:t xml:space="preserve">Wharton </w:t>
      </w:r>
      <w:r w:rsidR="005E48FC" w:rsidRPr="000D6FAA">
        <w:rPr>
          <w:color w:val="000090"/>
          <w:u w:val="single"/>
        </w:rPr>
        <w:t>Branches-out to San Francisco</w:t>
      </w:r>
      <w:r w:rsidR="00CE6911">
        <w:rPr>
          <w:u w:val="single"/>
        </w:rPr>
        <w:t>:</w:t>
      </w:r>
      <w:r w:rsidR="00CE6911">
        <w:t xml:space="preserve"> </w:t>
      </w:r>
      <w:r w:rsidR="00362664">
        <w:t xml:space="preserve"> </w:t>
      </w:r>
      <w:r w:rsidR="004E081C">
        <w:t>University of Pennsylvania’s Wharton School of Busines</w:t>
      </w:r>
      <w:r w:rsidR="002B5986">
        <w:t>s is a highly rated MBA program;</w:t>
      </w:r>
      <w:r w:rsidR="004E081C">
        <w:t xml:space="preserve"> however, while </w:t>
      </w:r>
      <w:r w:rsidR="00362664">
        <w:t xml:space="preserve">its </w:t>
      </w:r>
      <w:r w:rsidR="004E081C">
        <w:t xml:space="preserve">Philadelphia </w:t>
      </w:r>
      <w:r w:rsidR="00362664">
        <w:t xml:space="preserve">location </w:t>
      </w:r>
      <w:r w:rsidR="004E081C">
        <w:t>is a major metropolitan area, it doesn’t have a critical mass Hy-LIE</w:t>
      </w:r>
      <w:r w:rsidR="00CA3D9B">
        <w:t>,</w:t>
      </w:r>
      <w:r w:rsidR="004E081C">
        <w:t xml:space="preserve"> and it </w:t>
      </w:r>
      <w:r w:rsidR="00BC7708">
        <w:t>would</w:t>
      </w:r>
      <w:r w:rsidR="004E081C">
        <w:t xml:space="preserve"> be challenging to grow a critical mass there.</w:t>
      </w:r>
      <w:r w:rsidR="00CE6911">
        <w:t xml:space="preserve"> </w:t>
      </w:r>
      <w:r w:rsidR="00BC7708">
        <w:t>In 2000, a Vice Dean at Wharton stated</w:t>
      </w:r>
      <w:r w:rsidR="007F0BE3">
        <w:t>, “the West Coast is attractive to us because we see more and more students who come here who are interested in going there”.</w:t>
      </w:r>
      <w:r w:rsidR="003F481D">
        <w:t xml:space="preserve"> He added</w:t>
      </w:r>
      <w:r w:rsidR="004149DB">
        <w:t xml:space="preserve"> that</w:t>
      </w:r>
      <w:r w:rsidR="003F481D">
        <w:t xml:space="preserve">, more of the School’s faculty members </w:t>
      </w:r>
      <w:r w:rsidR="003F481D">
        <w:lastRenderedPageBreak/>
        <w:t>are also advising and studying companies in California, and more alumni are there.</w:t>
      </w:r>
      <w:r w:rsidR="00C506F7">
        <w:t xml:space="preserve"> </w:t>
      </w:r>
      <w:r w:rsidR="004E081C">
        <w:t>In 2000, Wharton established a campus in San Francisco, and ten year</w:t>
      </w:r>
      <w:r w:rsidR="00C43CC8">
        <w:t>s</w:t>
      </w:r>
      <w:r w:rsidR="004E081C">
        <w:t xml:space="preserve"> later, the MBA program </w:t>
      </w:r>
      <w:r w:rsidR="00D407A4">
        <w:t>increased its presence by moving</w:t>
      </w:r>
      <w:r w:rsidR="004E081C">
        <w:t xml:space="preserve"> into a</w:t>
      </w:r>
      <w:r w:rsidR="004A4B6A">
        <w:t>n</w:t>
      </w:r>
      <w:r w:rsidR="004E081C">
        <w:t xml:space="preserve"> expanded</w:t>
      </w:r>
      <w:r w:rsidR="004A4B6A">
        <w:t>, flagship</w:t>
      </w:r>
      <w:r w:rsidR="000D17F3">
        <w:t xml:space="preserve"> campus in San Francisco</w:t>
      </w:r>
      <w:r w:rsidR="004E081C">
        <w:t xml:space="preserve">. </w:t>
      </w:r>
      <w:hyperlink r:id="rId13" w:history="1">
        <w:r w:rsidR="006C053A" w:rsidRPr="006C053A">
          <w:rPr>
            <w:rStyle w:val="Hyperlink"/>
          </w:rPr>
          <w:t>http://www.nytimes.com/2000/12/13</w:t>
        </w:r>
        <w:r w:rsidR="006C053A" w:rsidRPr="006C053A">
          <w:rPr>
            <w:rStyle w:val="Hyperlink"/>
          </w:rPr>
          <w:t>/</w:t>
        </w:r>
        <w:r w:rsidR="006C053A" w:rsidRPr="006C053A">
          <w:rPr>
            <w:rStyle w:val="Hyperlink"/>
          </w:rPr>
          <w:t>business/wharton-school-to-start-program-in-san-francisco.html</w:t>
        </w:r>
      </w:hyperlink>
    </w:p>
    <w:p w14:paraId="2E713DCC" w14:textId="77777777" w:rsidR="00A85972" w:rsidRDefault="00A85972"/>
    <w:p w14:paraId="495C8EE1" w14:textId="77777777" w:rsidR="00A15807" w:rsidRDefault="00541AF2" w:rsidP="00A85972">
      <w:pPr>
        <w:pStyle w:val="BodyText"/>
      </w:pPr>
      <w:r w:rsidRPr="00BD58B7">
        <w:rPr>
          <w:u w:val="single"/>
        </w:rPr>
        <w:t>C</w:t>
      </w:r>
      <w:r w:rsidRPr="000D6FAA">
        <w:rPr>
          <w:color w:val="000090"/>
          <w:u w:val="single"/>
        </w:rPr>
        <w:t>arnegie-</w:t>
      </w:r>
      <w:r w:rsidR="00A85972" w:rsidRPr="000D6FAA">
        <w:rPr>
          <w:color w:val="000090"/>
          <w:u w:val="single"/>
        </w:rPr>
        <w:t>Mellon Branches-out to</w:t>
      </w:r>
      <w:r w:rsidR="00700895" w:rsidRPr="000D6FAA">
        <w:rPr>
          <w:color w:val="000090"/>
          <w:u w:val="single"/>
        </w:rPr>
        <w:t xml:space="preserve"> Silicon Valley</w:t>
      </w:r>
      <w:r w:rsidR="00700895">
        <w:t xml:space="preserve">: </w:t>
      </w:r>
      <w:r w:rsidR="000D6B0B">
        <w:t>CMU has highly rated</w:t>
      </w:r>
      <w:r w:rsidR="0025452F">
        <w:t xml:space="preserve"> engineering p</w:t>
      </w:r>
      <w:r w:rsidR="00817A21">
        <w:t>rograms</w:t>
      </w:r>
      <w:r w:rsidR="00701642">
        <w:t>, and</w:t>
      </w:r>
      <w:r w:rsidR="00CA3D9B">
        <w:t xml:space="preserve"> while i</w:t>
      </w:r>
      <w:r w:rsidR="00EE0129">
        <w:t>t</w:t>
      </w:r>
      <w:r w:rsidR="00CA3D9B">
        <w:t xml:space="preserve">s Pittsburg location </w:t>
      </w:r>
      <w:r w:rsidR="000D6B0B">
        <w:t xml:space="preserve">has experienced a </w:t>
      </w:r>
      <w:r w:rsidR="00817A21">
        <w:t>renaissance</w:t>
      </w:r>
      <w:r w:rsidR="00701642">
        <w:t>,</w:t>
      </w:r>
      <w:r w:rsidR="00817A21">
        <w:t xml:space="preserve"> it doesn’t have a critical mass Hy-LIE</w:t>
      </w:r>
      <w:r w:rsidR="00CA3D9B">
        <w:t>,</w:t>
      </w:r>
      <w:r w:rsidR="00817A21">
        <w:t xml:space="preserve"> and it would be challenging to grow a critical mass there. In 2002, CMU’s computer science department established a presence </w:t>
      </w:r>
      <w:r w:rsidR="00614720">
        <w:t>at</w:t>
      </w:r>
      <w:r w:rsidR="00817A21">
        <w:t xml:space="preserve"> NASA Ames Research Center in the heart of Silicon Valley. Six years later, </w:t>
      </w:r>
      <w:r w:rsidR="00701642">
        <w:t>the University’s</w:t>
      </w:r>
      <w:r w:rsidR="00817A21">
        <w:t xml:space="preserve"> College of Engineering expanded the satellite campus</w:t>
      </w:r>
      <w:r w:rsidR="00701642">
        <w:t>’s resources</w:t>
      </w:r>
      <w:r w:rsidR="00817A21">
        <w:t xml:space="preserve"> and </w:t>
      </w:r>
      <w:r w:rsidR="00701642">
        <w:t>its connection across CMU</w:t>
      </w:r>
      <w:r w:rsidR="00817A21">
        <w:t>.</w:t>
      </w:r>
    </w:p>
    <w:p w14:paraId="7EE22A6C" w14:textId="77777777" w:rsidR="00112E05" w:rsidRDefault="00112E05" w:rsidP="00A85972">
      <w:pPr>
        <w:pStyle w:val="BodyText"/>
      </w:pPr>
    </w:p>
    <w:p w14:paraId="45826586" w14:textId="77777777" w:rsidR="00B346CD" w:rsidRDefault="00B346CD" w:rsidP="006D5D1F">
      <w:pPr>
        <w:pStyle w:val="Heading1"/>
      </w:pPr>
      <w:r>
        <w:t>Predictions</w:t>
      </w:r>
    </w:p>
    <w:p w14:paraId="367D9BEC" w14:textId="77777777" w:rsidR="00BB0C92" w:rsidRDefault="00BB0C92"/>
    <w:p w14:paraId="0BD38933" w14:textId="4E00BA95" w:rsidR="009D32DB" w:rsidRDefault="00DA30ED" w:rsidP="006A711A">
      <w:pPr>
        <w:pStyle w:val="BodyText"/>
      </w:pPr>
      <w:r>
        <w:t>It will become</w:t>
      </w:r>
      <w:r w:rsidR="009D32DB">
        <w:t xml:space="preserve"> </w:t>
      </w:r>
      <w:r w:rsidR="00F442F8">
        <w:t>conventional wisdom that</w:t>
      </w:r>
      <w:r w:rsidR="009D32DB">
        <w:t xml:space="preserve"> </w:t>
      </w:r>
      <w:r w:rsidR="006E38E5">
        <w:t xml:space="preserve">robust Hy-LIEs are a competitive asset for universities – particularly their STEM-B programs. </w:t>
      </w:r>
      <w:r w:rsidR="00D0211C">
        <w:t>This will result in the following</w:t>
      </w:r>
      <w:r w:rsidR="00957D93">
        <w:t xml:space="preserve"> trends.</w:t>
      </w:r>
    </w:p>
    <w:p w14:paraId="4D43228C" w14:textId="77777777" w:rsidR="009D32DB" w:rsidRDefault="009D32DB" w:rsidP="006A711A">
      <w:pPr>
        <w:pStyle w:val="BodyText"/>
      </w:pPr>
    </w:p>
    <w:p w14:paraId="23913778" w14:textId="0D02D1CE" w:rsidR="000C71AC" w:rsidRDefault="008F7E30" w:rsidP="006A711A">
      <w:pPr>
        <w:pStyle w:val="BodyText"/>
      </w:pPr>
      <w:r w:rsidRPr="008E49BB">
        <w:rPr>
          <w:color w:val="000090"/>
          <w:u w:val="single"/>
        </w:rPr>
        <w:t>Multi-Regional &amp; Multi-National Universities</w:t>
      </w:r>
      <w:r>
        <w:t>:  The proliferation of universities bra</w:t>
      </w:r>
      <w:r w:rsidR="004717F6">
        <w:t>nching-out with sister campuses</w:t>
      </w:r>
      <w:r>
        <w:t xml:space="preserve"> will result in many</w:t>
      </w:r>
      <w:r w:rsidR="00926A25">
        <w:t xml:space="preserve"> </w:t>
      </w:r>
      <w:r w:rsidR="00E06004">
        <w:t>highly ranked</w:t>
      </w:r>
      <w:r w:rsidR="00926A25">
        <w:t xml:space="preserve"> </w:t>
      </w:r>
      <w:r w:rsidR="004E4467">
        <w:t>universit</w:t>
      </w:r>
      <w:r>
        <w:t>ies having</w:t>
      </w:r>
      <w:r w:rsidR="00926A25">
        <w:t xml:space="preserve"> </w:t>
      </w:r>
      <w:r w:rsidR="00F442F8">
        <w:t>a</w:t>
      </w:r>
      <w:r w:rsidR="00926A25">
        <w:t xml:space="preserve"> campus</w:t>
      </w:r>
      <w:r w:rsidR="00F442F8">
        <w:t xml:space="preserve"> presence in one of globe’s </w:t>
      </w:r>
      <w:r w:rsidR="00926A25">
        <w:t xml:space="preserve">top </w:t>
      </w:r>
      <w:r w:rsidR="00855009">
        <w:t>Hy-LIEs such as</w:t>
      </w:r>
      <w:r w:rsidR="00E06004">
        <w:t xml:space="preserve"> Silicon Valley-</w:t>
      </w:r>
      <w:r w:rsidR="00926A25">
        <w:t xml:space="preserve">San Francisco, New York City, </w:t>
      </w:r>
      <w:r w:rsidR="00F442F8">
        <w:t>and</w:t>
      </w:r>
      <w:r w:rsidR="00855009">
        <w:t xml:space="preserve"> perhaps</w:t>
      </w:r>
      <w:r w:rsidR="00926A25">
        <w:t xml:space="preserve"> Beijing.</w:t>
      </w:r>
      <w:r w:rsidR="00F442F8">
        <w:t xml:space="preserve"> </w:t>
      </w:r>
      <w:r w:rsidR="00C4636F">
        <w:t>Eventually</w:t>
      </w:r>
      <w:r w:rsidR="00645F5A">
        <w:t>, many prestigious</w:t>
      </w:r>
      <w:r w:rsidR="00F442F8">
        <w:t xml:space="preserve"> </w:t>
      </w:r>
      <w:r w:rsidR="00A03780">
        <w:t>STEM-B</w:t>
      </w:r>
      <w:r w:rsidR="00F442F8">
        <w:t xml:space="preserve"> programs will have a campus presence in </w:t>
      </w:r>
      <w:r w:rsidR="002B5986">
        <w:t>several</w:t>
      </w:r>
      <w:r w:rsidR="00F442F8">
        <w:t xml:space="preserve"> Hy-LIEs.</w:t>
      </w:r>
      <w:r w:rsidR="00C4636F">
        <w:t xml:space="preserve"> As a result, many leading US universities will evolve into </w:t>
      </w:r>
      <w:r w:rsidR="00D9636F">
        <w:t xml:space="preserve">multi-regional and </w:t>
      </w:r>
      <w:r w:rsidR="00C4636F">
        <w:t>multinational institutions – j</w:t>
      </w:r>
      <w:r w:rsidR="009C56CB">
        <w:t xml:space="preserve">ust as in the last century, </w:t>
      </w:r>
      <w:r w:rsidR="00C4636F">
        <w:t>most</w:t>
      </w:r>
      <w:r w:rsidR="00925FF1">
        <w:t xml:space="preserve"> leading</w:t>
      </w:r>
      <w:r w:rsidR="009C56CB">
        <w:t xml:space="preserve"> US companies evolved into multinational corporations</w:t>
      </w:r>
      <w:r>
        <w:t xml:space="preserve">. </w:t>
      </w:r>
    </w:p>
    <w:p w14:paraId="1509AB92" w14:textId="77777777" w:rsidR="000C71AC" w:rsidRDefault="000C71AC" w:rsidP="006A711A">
      <w:pPr>
        <w:pStyle w:val="BodyText"/>
      </w:pPr>
    </w:p>
    <w:p w14:paraId="2F07C3A0" w14:textId="2C35D092" w:rsidR="00D9636F" w:rsidRDefault="008F7E30" w:rsidP="006A711A">
      <w:pPr>
        <w:pStyle w:val="BodyText"/>
      </w:pPr>
      <w:r w:rsidRPr="008E49BB">
        <w:rPr>
          <w:color w:val="000090"/>
          <w:u w:val="single"/>
        </w:rPr>
        <w:t>Ubiquitous University Accelerators</w:t>
      </w:r>
      <w:r>
        <w:t xml:space="preserve">: </w:t>
      </w:r>
      <w:r w:rsidR="00325805">
        <w:t>In addition to multiple campuses</w:t>
      </w:r>
      <w:r w:rsidR="006D1677">
        <w:t xml:space="preserve">, all </w:t>
      </w:r>
      <w:r w:rsidR="00F442F8">
        <w:t>highly rated</w:t>
      </w:r>
      <w:r w:rsidR="006D1677">
        <w:t xml:space="preserve"> </w:t>
      </w:r>
      <w:r w:rsidR="00A03780">
        <w:t>STEM-B</w:t>
      </w:r>
      <w:r w:rsidR="006D1677">
        <w:t xml:space="preserve"> programs will have a startup accelerator. </w:t>
      </w:r>
      <w:proofErr w:type="gramStart"/>
      <w:r w:rsidR="000E1A68">
        <w:t xml:space="preserve">The best of these accelerators will be jointly managed by their university’s </w:t>
      </w:r>
      <w:r w:rsidR="00A03780">
        <w:t>STEM-B</w:t>
      </w:r>
      <w:r w:rsidR="00D9636F">
        <w:t xml:space="preserve"> programs</w:t>
      </w:r>
      <w:proofErr w:type="gramEnd"/>
      <w:r w:rsidR="00A4771D">
        <w:t xml:space="preserve">. Eventually, </w:t>
      </w:r>
      <w:r w:rsidR="00D9636F">
        <w:t>university accelerators</w:t>
      </w:r>
      <w:r w:rsidR="00A4771D">
        <w:t xml:space="preserve"> will be as common on college campuses</w:t>
      </w:r>
      <w:r w:rsidR="006D1677">
        <w:t xml:space="preserve"> as libraries, student centers, and sports stadiums</w:t>
      </w:r>
      <w:r w:rsidR="00AE27F2">
        <w:t>.</w:t>
      </w:r>
      <w:r w:rsidR="004403B9">
        <w:t xml:space="preserve"> </w:t>
      </w:r>
    </w:p>
    <w:p w14:paraId="57E8A4D2" w14:textId="77777777" w:rsidR="00D9636F" w:rsidRDefault="00D9636F" w:rsidP="006A711A">
      <w:pPr>
        <w:pStyle w:val="BodyText"/>
      </w:pPr>
    </w:p>
    <w:p w14:paraId="1307E203" w14:textId="278F4BB4" w:rsidR="00325805" w:rsidRDefault="009C42F9" w:rsidP="006A711A">
      <w:pPr>
        <w:pStyle w:val="BodyText"/>
      </w:pPr>
      <w:r w:rsidRPr="008E49BB">
        <w:rPr>
          <w:color w:val="000090"/>
          <w:u w:val="single"/>
        </w:rPr>
        <w:t>Hy-LIE Development Collaborations</w:t>
      </w:r>
      <w:r>
        <w:t>: A</w:t>
      </w:r>
      <w:r w:rsidR="004403B9">
        <w:t xml:space="preserve">ll </w:t>
      </w:r>
      <w:r w:rsidR="00F442F8">
        <w:t>highly ranked</w:t>
      </w:r>
      <w:r w:rsidR="004403B9">
        <w:t xml:space="preserve"> </w:t>
      </w:r>
      <w:r w:rsidR="00A03780">
        <w:t>STEM-B</w:t>
      </w:r>
      <w:r w:rsidR="004403B9">
        <w:t xml:space="preserve"> programs will </w:t>
      </w:r>
      <w:r w:rsidR="00F442F8">
        <w:t xml:space="preserve">collaborate </w:t>
      </w:r>
      <w:r w:rsidR="004403B9">
        <w:t>with the</w:t>
      </w:r>
      <w:r w:rsidR="00F442F8">
        <w:t xml:space="preserve">ir local government and private sector on </w:t>
      </w:r>
      <w:r w:rsidR="00F42321">
        <w:t xml:space="preserve">Hy-LIE development </w:t>
      </w:r>
      <w:r w:rsidR="008F50B2">
        <w:t>initiatives</w:t>
      </w:r>
      <w:r>
        <w:t xml:space="preserve">. Also, in universities with </w:t>
      </w:r>
      <w:r w:rsidR="00EB166A">
        <w:t>STEM</w:t>
      </w:r>
      <w:r>
        <w:t xml:space="preserve"> and MB</w:t>
      </w:r>
      <w:bookmarkStart w:id="0" w:name="_GoBack"/>
      <w:bookmarkEnd w:id="0"/>
      <w:r>
        <w:t>A programs, those programs will collaborate on Hy-LIE dev</w:t>
      </w:r>
      <w:r w:rsidR="008F50B2">
        <w:t>elopment</w:t>
      </w:r>
      <w:r w:rsidR="00D47D9B">
        <w:t xml:space="preserve">. </w:t>
      </w:r>
    </w:p>
    <w:p w14:paraId="307638C6" w14:textId="77777777" w:rsidR="00325805" w:rsidRDefault="00325805" w:rsidP="006A711A">
      <w:pPr>
        <w:pStyle w:val="BodyText"/>
      </w:pPr>
    </w:p>
    <w:p w14:paraId="426CD9CC" w14:textId="41FC7213" w:rsidR="00B9303E" w:rsidRDefault="009C42F9" w:rsidP="006A711A">
      <w:pPr>
        <w:pStyle w:val="BodyText"/>
      </w:pPr>
      <w:r w:rsidRPr="008E49BB">
        <w:rPr>
          <w:color w:val="000090"/>
          <w:u w:val="single"/>
        </w:rPr>
        <w:t>Director of Innovation Ecosystem Development</w:t>
      </w:r>
      <w:r>
        <w:t xml:space="preserve">:  </w:t>
      </w:r>
      <w:r w:rsidR="00325805">
        <w:t xml:space="preserve">These </w:t>
      </w:r>
      <w:r w:rsidR="006E09EE">
        <w:t xml:space="preserve">Hy-LIE </w:t>
      </w:r>
      <w:r w:rsidR="00325805">
        <w:t xml:space="preserve">trends will lead to a new position at </w:t>
      </w:r>
      <w:r w:rsidR="00452461">
        <w:t>prestigious</w:t>
      </w:r>
      <w:r w:rsidR="00325805">
        <w:t xml:space="preserve"> </w:t>
      </w:r>
      <w:r w:rsidR="00442EDF">
        <w:t>universit</w:t>
      </w:r>
      <w:r w:rsidR="006E09EE">
        <w:t>i</w:t>
      </w:r>
      <w:r w:rsidR="00442EDF">
        <w:t>es</w:t>
      </w:r>
      <w:r w:rsidR="00325805">
        <w:t xml:space="preserve"> – Director of Local Innovation Ecosystem Development.  This position’s</w:t>
      </w:r>
      <w:r w:rsidR="00E72C10">
        <w:t xml:space="preserve"> responsibilities w</w:t>
      </w:r>
      <w:r w:rsidR="001D7003">
        <w:t>ill include,</w:t>
      </w:r>
      <w:r w:rsidR="00E72C10">
        <w:t xml:space="preserve"> (1) </w:t>
      </w:r>
      <w:r w:rsidR="00325805">
        <w:t>work</w:t>
      </w:r>
      <w:r w:rsidR="00E72C10">
        <w:t xml:space="preserve">ing with the local private sector and government </w:t>
      </w:r>
      <w:r w:rsidR="00325805">
        <w:t>to grow their Hy-LIE,</w:t>
      </w:r>
      <w:r w:rsidR="00E72C10">
        <w:t xml:space="preserve"> (2)</w:t>
      </w:r>
      <w:r w:rsidR="00325805">
        <w:t xml:space="preserve"> </w:t>
      </w:r>
      <w:r w:rsidR="00A777EA">
        <w:t xml:space="preserve">leveraging the university’s research to drive their Hy-LIE, </w:t>
      </w:r>
      <w:r w:rsidR="00E72C10">
        <w:t>and conversely (3)</w:t>
      </w:r>
      <w:r w:rsidR="00325805">
        <w:t xml:space="preserve"> </w:t>
      </w:r>
      <w:r w:rsidR="00D9636F">
        <w:t xml:space="preserve">ensuring that their Hy-LIE bolsters </w:t>
      </w:r>
      <w:r w:rsidR="00325805">
        <w:t xml:space="preserve">the university’s </w:t>
      </w:r>
      <w:r w:rsidR="00A777EA">
        <w:t xml:space="preserve">research </w:t>
      </w:r>
      <w:r w:rsidR="00E72C10">
        <w:t xml:space="preserve">enterprise </w:t>
      </w:r>
      <w:r w:rsidR="00A777EA">
        <w:t xml:space="preserve">and education </w:t>
      </w:r>
      <w:r w:rsidR="00E72C10">
        <w:t>programs</w:t>
      </w:r>
      <w:r w:rsidR="00325805">
        <w:t>.</w:t>
      </w:r>
      <w:r w:rsidR="00442EDF">
        <w:t xml:space="preserve"> Th</w:t>
      </w:r>
      <w:r w:rsidR="00E72C10">
        <w:t>is job could also encompass managing the university’s startup accelerator</w:t>
      </w:r>
      <w:r w:rsidR="00764232">
        <w:t>.</w:t>
      </w:r>
    </w:p>
    <w:p w14:paraId="4EC427CD" w14:textId="77777777" w:rsidR="00D036EA" w:rsidRDefault="00D036EA" w:rsidP="006A711A">
      <w:pPr>
        <w:pStyle w:val="BodyText"/>
      </w:pPr>
    </w:p>
    <w:p w14:paraId="57703158" w14:textId="40FA3873" w:rsidR="000200D7" w:rsidRDefault="00123A8A" w:rsidP="006A711A">
      <w:pPr>
        <w:pStyle w:val="BodyText"/>
      </w:pPr>
      <w:r w:rsidRPr="008E49BB">
        <w:rPr>
          <w:color w:val="000090"/>
          <w:u w:val="single"/>
        </w:rPr>
        <w:t>New Metric</w:t>
      </w:r>
      <w:r>
        <w:t xml:space="preserve">:  </w:t>
      </w:r>
      <w:r w:rsidR="00B9303E">
        <w:t xml:space="preserve">Ultimately, Hy-LIEs will become a </w:t>
      </w:r>
      <w:r>
        <w:t>metric</w:t>
      </w:r>
      <w:r w:rsidR="00B9303E">
        <w:t xml:space="preserve"> </w:t>
      </w:r>
      <w:r w:rsidR="00B949CC">
        <w:t xml:space="preserve">that will be included in the ranking of </w:t>
      </w:r>
      <w:r w:rsidR="00B9303E">
        <w:t>universit</w:t>
      </w:r>
      <w:r w:rsidR="00CA3D9B">
        <w:t>ies</w:t>
      </w:r>
      <w:r w:rsidR="004164B7">
        <w:t>, and accordingly a subject for academic research and professional expertise</w:t>
      </w:r>
      <w:r w:rsidR="00B9303E">
        <w:t>.</w:t>
      </w:r>
      <w:r w:rsidR="00D7633A">
        <w:t xml:space="preserve"> </w:t>
      </w:r>
    </w:p>
    <w:p w14:paraId="0621DDB4" w14:textId="77777777" w:rsidR="000F3C21" w:rsidRPr="00B1237B" w:rsidRDefault="000F3C21" w:rsidP="006A711A">
      <w:pPr>
        <w:pStyle w:val="BodyText"/>
        <w:rPr>
          <w:sz w:val="20"/>
          <w:szCs w:val="20"/>
        </w:rPr>
      </w:pPr>
    </w:p>
    <w:p w14:paraId="44F171F3" w14:textId="06D0BA7C" w:rsidR="00945C58" w:rsidRDefault="00945C58" w:rsidP="006A711A">
      <w:pPr>
        <w:pStyle w:val="BodyText"/>
      </w:pPr>
      <w:r>
        <w:t>Citations</w:t>
      </w:r>
      <w:r w:rsidR="00B97CA4">
        <w:t>:</w:t>
      </w:r>
    </w:p>
    <w:p w14:paraId="0C5BEDC3" w14:textId="2AFF27C8" w:rsidR="00945C58" w:rsidRDefault="00945C58" w:rsidP="006A711A">
      <w:pPr>
        <w:pStyle w:val="BodyText"/>
      </w:pPr>
      <w:r w:rsidRPr="00945C58">
        <w:t>Lester, R. (2005). Uni</w:t>
      </w:r>
      <w:r>
        <w:t>versities, innovation, and the C</w:t>
      </w:r>
      <w:r w:rsidRPr="00945C58">
        <w:t>ompetitiv</w:t>
      </w:r>
      <w:r>
        <w:t>eness of Local Economies</w:t>
      </w:r>
      <w:r w:rsidRPr="00945C58">
        <w:t xml:space="preserve">, Massachusetts Institute of Technology, Cambridge, Retrieved from </w:t>
      </w:r>
      <w:hyperlink r:id="rId14" w:history="1">
        <w:r w:rsidR="004E136E" w:rsidRPr="0058348E">
          <w:rPr>
            <w:rStyle w:val="Hyperlink"/>
          </w:rPr>
          <w:t>http://web.mit.edu/ipc/publications/pdf/05-010.pdf</w:t>
        </w:r>
      </w:hyperlink>
    </w:p>
    <w:p w14:paraId="182EEB31" w14:textId="77777777" w:rsidR="004E136E" w:rsidRPr="00B1237B" w:rsidRDefault="004E136E" w:rsidP="006A711A">
      <w:pPr>
        <w:pStyle w:val="BodyText"/>
        <w:rPr>
          <w:sz w:val="20"/>
          <w:szCs w:val="20"/>
        </w:rPr>
      </w:pPr>
    </w:p>
    <w:p w14:paraId="19A5F029" w14:textId="71EC06E0" w:rsidR="004E136E" w:rsidRDefault="004E136E" w:rsidP="006A711A">
      <w:pPr>
        <w:pStyle w:val="BodyText"/>
      </w:pPr>
      <w:r>
        <w:t>Acknowledgements</w:t>
      </w:r>
      <w:r w:rsidR="00B97CA4">
        <w:t>:</w:t>
      </w:r>
    </w:p>
    <w:p w14:paraId="0DFB19D5" w14:textId="6A991283" w:rsidR="004E136E" w:rsidRDefault="004E136E" w:rsidP="006A711A">
      <w:pPr>
        <w:pStyle w:val="BodyText"/>
      </w:pPr>
      <w:r>
        <w:t>The author would like to thank Peter</w:t>
      </w:r>
      <w:r w:rsidR="00FA3C22">
        <w:t xml:space="preserve"> S.</w:t>
      </w:r>
      <w:r>
        <w:t xml:space="preserve"> Fiske</w:t>
      </w:r>
      <w:r w:rsidR="00FA3C22">
        <w:t>, Ph.</w:t>
      </w:r>
      <w:r w:rsidR="00CF584C">
        <w:t>D. for his edits and contributions to this paper.</w:t>
      </w:r>
    </w:p>
    <w:p w14:paraId="0D68104C" w14:textId="77777777" w:rsidR="00CF584C" w:rsidRPr="00B1237B" w:rsidRDefault="00CF584C" w:rsidP="006A711A">
      <w:pPr>
        <w:pStyle w:val="BodyText"/>
        <w:rPr>
          <w:sz w:val="20"/>
          <w:szCs w:val="20"/>
        </w:rPr>
      </w:pPr>
    </w:p>
    <w:p w14:paraId="51770063" w14:textId="1BBCC317" w:rsidR="00CF584C" w:rsidRDefault="00CF584C" w:rsidP="006A711A">
      <w:pPr>
        <w:pStyle w:val="BodyText"/>
      </w:pPr>
      <w:r>
        <w:t>Author:</w:t>
      </w:r>
    </w:p>
    <w:p w14:paraId="0B722B4E" w14:textId="50C220F7" w:rsidR="00810641" w:rsidRDefault="00810641" w:rsidP="006A711A">
      <w:pPr>
        <w:pStyle w:val="BodyText"/>
      </w:pPr>
      <w:r>
        <w:t xml:space="preserve">Mike Alvarez </w:t>
      </w:r>
      <w:proofErr w:type="gramStart"/>
      <w:r>
        <w:t>Cohen,</w:t>
      </w:r>
      <w:proofErr w:type="gramEnd"/>
      <w:r>
        <w:t xml:space="preserve"> is the Director of Local Innovation Ecosystem Development at UC Berkeley’s Office of Intellectual Property &amp; Industry Research Alliances. For more information about Mike, go to:</w:t>
      </w:r>
    </w:p>
    <w:p w14:paraId="73483204" w14:textId="78A01372" w:rsidR="00CF584C" w:rsidRDefault="00CF4646" w:rsidP="006A711A">
      <w:pPr>
        <w:pStyle w:val="BodyText"/>
      </w:pPr>
      <w:hyperlink r:id="rId15" w:history="1">
        <w:r w:rsidRPr="00CF4646">
          <w:rPr>
            <w:rStyle w:val="Hyperlink"/>
          </w:rPr>
          <w:t>http://ipira.berkeley.edu/bio-michael-cohen-uc-berkeley</w:t>
        </w:r>
      </w:hyperlink>
    </w:p>
    <w:sectPr w:rsidR="00CF584C" w:rsidSect="00A43D27">
      <w:headerReference w:type="default" r:id="rId16"/>
      <w:footerReference w:type="default" r:id="rId17"/>
      <w:pgSz w:w="12240" w:h="15840"/>
      <w:pgMar w:top="1152" w:right="1440" w:bottom="1224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3BEA" w14:textId="77777777" w:rsidR="002C1EC5" w:rsidRDefault="002C1EC5" w:rsidP="00CE3487">
      <w:r>
        <w:separator/>
      </w:r>
    </w:p>
  </w:endnote>
  <w:endnote w:type="continuationSeparator" w:id="0">
    <w:p w14:paraId="1020188E" w14:textId="77777777" w:rsidR="002C1EC5" w:rsidRDefault="002C1EC5" w:rsidP="00CE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2035" w14:textId="1F5D54BC" w:rsidR="002C1EC5" w:rsidRPr="00A43D27" w:rsidRDefault="002C1EC5" w:rsidP="00F22042">
    <w:pPr>
      <w:pStyle w:val="Footer"/>
      <w:rPr>
        <w:rFonts w:ascii="Arial" w:hAnsi="Arial"/>
        <w:sz w:val="18"/>
        <w:szCs w:val="18"/>
      </w:rPr>
    </w:pPr>
    <w:r w:rsidRPr="00A43D27">
      <w:rPr>
        <w:rFonts w:ascii="Arial" w:hAnsi="Arial"/>
        <w:sz w:val="18"/>
        <w:szCs w:val="18"/>
      </w:rPr>
      <w:fldChar w:fldCharType="begin"/>
    </w:r>
    <w:r w:rsidRPr="00A43D27">
      <w:rPr>
        <w:rFonts w:ascii="Arial" w:hAnsi="Arial"/>
        <w:sz w:val="18"/>
        <w:szCs w:val="18"/>
      </w:rPr>
      <w:instrText xml:space="preserve"> DATE \@ "M/d/yy" </w:instrText>
    </w:r>
    <w:r w:rsidRPr="00A43D27">
      <w:rPr>
        <w:rFonts w:ascii="Arial" w:hAnsi="Arial"/>
        <w:sz w:val="18"/>
        <w:szCs w:val="18"/>
      </w:rPr>
      <w:fldChar w:fldCharType="separate"/>
    </w:r>
    <w:r w:rsidR="00675C74">
      <w:rPr>
        <w:rFonts w:ascii="Arial" w:hAnsi="Arial"/>
        <w:noProof/>
        <w:sz w:val="18"/>
        <w:szCs w:val="18"/>
      </w:rPr>
      <w:t>10/23/12</w:t>
    </w:r>
    <w:r w:rsidRPr="00A43D27">
      <w:rPr>
        <w:rFonts w:ascii="Arial" w:hAnsi="Arial"/>
        <w:noProof/>
        <w:sz w:val="18"/>
        <w:szCs w:val="18"/>
      </w:rPr>
      <w:fldChar w:fldCharType="end"/>
    </w:r>
    <w:r w:rsidRPr="00A43D27">
      <w:rPr>
        <w:rFonts w:ascii="Arial" w:hAnsi="Arial"/>
        <w:sz w:val="18"/>
        <w:szCs w:val="18"/>
      </w:rPr>
      <w:tab/>
    </w:r>
    <w:r w:rsidRPr="00A43D27">
      <w:rPr>
        <w:rFonts w:ascii="Arial" w:hAnsi="Arial"/>
        <w:sz w:val="18"/>
        <w:szCs w:val="18"/>
      </w:rPr>
      <w:tab/>
      <w:t xml:space="preserve">Page </w:t>
    </w:r>
    <w:r w:rsidRPr="00A43D27">
      <w:rPr>
        <w:rStyle w:val="PageNumber"/>
        <w:rFonts w:ascii="Arial" w:hAnsi="Arial"/>
        <w:sz w:val="18"/>
        <w:szCs w:val="18"/>
      </w:rPr>
      <w:fldChar w:fldCharType="begin"/>
    </w:r>
    <w:r w:rsidRPr="00A43D27">
      <w:rPr>
        <w:rStyle w:val="PageNumber"/>
        <w:rFonts w:ascii="Arial" w:hAnsi="Arial"/>
        <w:sz w:val="18"/>
        <w:szCs w:val="18"/>
      </w:rPr>
      <w:instrText xml:space="preserve"> PAGE </w:instrText>
    </w:r>
    <w:r w:rsidRPr="00A43D27">
      <w:rPr>
        <w:rStyle w:val="PageNumber"/>
        <w:rFonts w:ascii="Arial" w:hAnsi="Arial"/>
        <w:sz w:val="18"/>
        <w:szCs w:val="18"/>
      </w:rPr>
      <w:fldChar w:fldCharType="separate"/>
    </w:r>
    <w:r w:rsidR="00675C74">
      <w:rPr>
        <w:rStyle w:val="PageNumber"/>
        <w:rFonts w:ascii="Arial" w:hAnsi="Arial"/>
        <w:noProof/>
        <w:sz w:val="18"/>
        <w:szCs w:val="18"/>
      </w:rPr>
      <w:t>13</w:t>
    </w:r>
    <w:r w:rsidRPr="00A43D27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0562" w14:textId="77777777" w:rsidR="002C1EC5" w:rsidRDefault="002C1EC5" w:rsidP="00CE3487">
      <w:r>
        <w:separator/>
      </w:r>
    </w:p>
  </w:footnote>
  <w:footnote w:type="continuationSeparator" w:id="0">
    <w:p w14:paraId="04125CD5" w14:textId="77777777" w:rsidR="002C1EC5" w:rsidRDefault="002C1EC5" w:rsidP="00CE3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10E8" w14:textId="41BBB3EA" w:rsidR="002C1EC5" w:rsidRPr="00A43D27" w:rsidRDefault="00A43D27" w:rsidP="00A43D27">
    <w:pPr>
      <w:pStyle w:val="Header"/>
      <w:tabs>
        <w:tab w:val="left" w:pos="0"/>
      </w:tabs>
      <w:rPr>
        <w:rFonts w:ascii="Arial" w:hAnsi="Arial"/>
        <w:sz w:val="18"/>
        <w:szCs w:val="18"/>
      </w:rPr>
    </w:pPr>
    <w:r w:rsidRPr="00A43D27">
      <w:rPr>
        <w:rFonts w:ascii="Arial" w:hAnsi="Arial"/>
        <w:sz w:val="18"/>
        <w:szCs w:val="18"/>
      </w:rPr>
      <w:t>The Strategic Value of a University’s Hyper-Local Innovation Ecosystem</w:t>
    </w:r>
    <w:r w:rsidR="002C1EC5" w:rsidRPr="00A43D27">
      <w:rPr>
        <w:rFonts w:ascii="Arial" w:hAnsi="Arial"/>
        <w:sz w:val="18"/>
        <w:szCs w:val="18"/>
      </w:rPr>
      <w:tab/>
    </w:r>
    <w:r w:rsidRPr="00A43D27">
      <w:rPr>
        <w:rFonts w:ascii="Arial" w:hAnsi="Arial"/>
        <w:sz w:val="18"/>
        <w:szCs w:val="18"/>
      </w:rPr>
      <w:t>Mike Alvarez Cohen, MBA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C7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43D7C"/>
    <w:multiLevelType w:val="hybridMultilevel"/>
    <w:tmpl w:val="E93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4A0"/>
    <w:multiLevelType w:val="hybridMultilevel"/>
    <w:tmpl w:val="A5B6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C0"/>
    <w:rsid w:val="00001899"/>
    <w:rsid w:val="00003CAA"/>
    <w:rsid w:val="00004959"/>
    <w:rsid w:val="00011531"/>
    <w:rsid w:val="0001198A"/>
    <w:rsid w:val="00011D96"/>
    <w:rsid w:val="000200D7"/>
    <w:rsid w:val="00025D08"/>
    <w:rsid w:val="00026D3E"/>
    <w:rsid w:val="00031B92"/>
    <w:rsid w:val="00037F62"/>
    <w:rsid w:val="000409CE"/>
    <w:rsid w:val="000413A1"/>
    <w:rsid w:val="00041ED2"/>
    <w:rsid w:val="00046E93"/>
    <w:rsid w:val="00047B0E"/>
    <w:rsid w:val="000502C5"/>
    <w:rsid w:val="000516CF"/>
    <w:rsid w:val="00055584"/>
    <w:rsid w:val="00056786"/>
    <w:rsid w:val="00057144"/>
    <w:rsid w:val="0006163A"/>
    <w:rsid w:val="00063F44"/>
    <w:rsid w:val="0007235D"/>
    <w:rsid w:val="000802CA"/>
    <w:rsid w:val="00081CE1"/>
    <w:rsid w:val="0008360E"/>
    <w:rsid w:val="000871EB"/>
    <w:rsid w:val="000918AF"/>
    <w:rsid w:val="00093E7C"/>
    <w:rsid w:val="00094523"/>
    <w:rsid w:val="00095B60"/>
    <w:rsid w:val="00097ED4"/>
    <w:rsid w:val="000A246F"/>
    <w:rsid w:val="000A7C8E"/>
    <w:rsid w:val="000B0C78"/>
    <w:rsid w:val="000B3280"/>
    <w:rsid w:val="000B5C58"/>
    <w:rsid w:val="000B60E2"/>
    <w:rsid w:val="000B7F3A"/>
    <w:rsid w:val="000C132E"/>
    <w:rsid w:val="000C4030"/>
    <w:rsid w:val="000C4CEF"/>
    <w:rsid w:val="000C71AC"/>
    <w:rsid w:val="000D17F3"/>
    <w:rsid w:val="000D3CDA"/>
    <w:rsid w:val="000D52F3"/>
    <w:rsid w:val="000D6B0B"/>
    <w:rsid w:val="000D6E9A"/>
    <w:rsid w:val="000D6FAA"/>
    <w:rsid w:val="000E093E"/>
    <w:rsid w:val="000E1325"/>
    <w:rsid w:val="000E1A68"/>
    <w:rsid w:val="000E430B"/>
    <w:rsid w:val="000E539B"/>
    <w:rsid w:val="000E5B7B"/>
    <w:rsid w:val="000F10F6"/>
    <w:rsid w:val="000F3C21"/>
    <w:rsid w:val="000F6D7A"/>
    <w:rsid w:val="001030DF"/>
    <w:rsid w:val="00110C7D"/>
    <w:rsid w:val="00112E05"/>
    <w:rsid w:val="00112FD4"/>
    <w:rsid w:val="00116BED"/>
    <w:rsid w:val="00123A8A"/>
    <w:rsid w:val="00125EBE"/>
    <w:rsid w:val="00126FF6"/>
    <w:rsid w:val="00130EF8"/>
    <w:rsid w:val="00132BA0"/>
    <w:rsid w:val="00136505"/>
    <w:rsid w:val="001375C9"/>
    <w:rsid w:val="00146DA3"/>
    <w:rsid w:val="001470C3"/>
    <w:rsid w:val="00151DDC"/>
    <w:rsid w:val="00156FE2"/>
    <w:rsid w:val="00157B9F"/>
    <w:rsid w:val="00157EC5"/>
    <w:rsid w:val="00160E2E"/>
    <w:rsid w:val="00161C78"/>
    <w:rsid w:val="001641BB"/>
    <w:rsid w:val="00164D9B"/>
    <w:rsid w:val="0017122D"/>
    <w:rsid w:val="00175C60"/>
    <w:rsid w:val="00175CCC"/>
    <w:rsid w:val="00181BBF"/>
    <w:rsid w:val="00187CCB"/>
    <w:rsid w:val="00190145"/>
    <w:rsid w:val="00191511"/>
    <w:rsid w:val="00192CCB"/>
    <w:rsid w:val="00195D2A"/>
    <w:rsid w:val="001970D3"/>
    <w:rsid w:val="001A5D8D"/>
    <w:rsid w:val="001A6F24"/>
    <w:rsid w:val="001A75A3"/>
    <w:rsid w:val="001C1834"/>
    <w:rsid w:val="001C1FF5"/>
    <w:rsid w:val="001C4202"/>
    <w:rsid w:val="001C621D"/>
    <w:rsid w:val="001C7450"/>
    <w:rsid w:val="001D2209"/>
    <w:rsid w:val="001D2F44"/>
    <w:rsid w:val="001D37E1"/>
    <w:rsid w:val="001D5A8B"/>
    <w:rsid w:val="001D7003"/>
    <w:rsid w:val="001D7478"/>
    <w:rsid w:val="001E036C"/>
    <w:rsid w:val="001E2896"/>
    <w:rsid w:val="001E448D"/>
    <w:rsid w:val="001E5B85"/>
    <w:rsid w:val="001E6B07"/>
    <w:rsid w:val="001F1906"/>
    <w:rsid w:val="001F2EC7"/>
    <w:rsid w:val="001F5A51"/>
    <w:rsid w:val="001F7440"/>
    <w:rsid w:val="001F7A3A"/>
    <w:rsid w:val="00200D07"/>
    <w:rsid w:val="00202957"/>
    <w:rsid w:val="002139B0"/>
    <w:rsid w:val="00213D81"/>
    <w:rsid w:val="002217E4"/>
    <w:rsid w:val="00222DE5"/>
    <w:rsid w:val="00224859"/>
    <w:rsid w:val="0022792C"/>
    <w:rsid w:val="00240F71"/>
    <w:rsid w:val="00246D51"/>
    <w:rsid w:val="00250AE1"/>
    <w:rsid w:val="0025452F"/>
    <w:rsid w:val="00257355"/>
    <w:rsid w:val="00264C3F"/>
    <w:rsid w:val="00265574"/>
    <w:rsid w:val="002758BC"/>
    <w:rsid w:val="00275B11"/>
    <w:rsid w:val="00280F08"/>
    <w:rsid w:val="00282370"/>
    <w:rsid w:val="00282452"/>
    <w:rsid w:val="0028266A"/>
    <w:rsid w:val="00282EAD"/>
    <w:rsid w:val="002834BB"/>
    <w:rsid w:val="002875D3"/>
    <w:rsid w:val="002930E7"/>
    <w:rsid w:val="00297ACC"/>
    <w:rsid w:val="002A7E27"/>
    <w:rsid w:val="002A7FC7"/>
    <w:rsid w:val="002B0115"/>
    <w:rsid w:val="002B1DD6"/>
    <w:rsid w:val="002B28C7"/>
    <w:rsid w:val="002B5986"/>
    <w:rsid w:val="002C165E"/>
    <w:rsid w:val="002C1EC5"/>
    <w:rsid w:val="002C289A"/>
    <w:rsid w:val="002C2FA9"/>
    <w:rsid w:val="002C3573"/>
    <w:rsid w:val="002C4154"/>
    <w:rsid w:val="002C5765"/>
    <w:rsid w:val="002D0243"/>
    <w:rsid w:val="002D33A8"/>
    <w:rsid w:val="002D5403"/>
    <w:rsid w:val="002D5873"/>
    <w:rsid w:val="002E21C8"/>
    <w:rsid w:val="002E32E1"/>
    <w:rsid w:val="002E3E4A"/>
    <w:rsid w:val="002E4FD9"/>
    <w:rsid w:val="002E7D13"/>
    <w:rsid w:val="002F2217"/>
    <w:rsid w:val="002F4CBA"/>
    <w:rsid w:val="002F50E4"/>
    <w:rsid w:val="002F610C"/>
    <w:rsid w:val="002F6FF0"/>
    <w:rsid w:val="003003E1"/>
    <w:rsid w:val="00301BFB"/>
    <w:rsid w:val="00303858"/>
    <w:rsid w:val="003039B0"/>
    <w:rsid w:val="00305EDD"/>
    <w:rsid w:val="00311273"/>
    <w:rsid w:val="00311303"/>
    <w:rsid w:val="0031135A"/>
    <w:rsid w:val="00323397"/>
    <w:rsid w:val="00323ED7"/>
    <w:rsid w:val="00324701"/>
    <w:rsid w:val="00325805"/>
    <w:rsid w:val="00327073"/>
    <w:rsid w:val="00332C55"/>
    <w:rsid w:val="00332E7C"/>
    <w:rsid w:val="00333D0F"/>
    <w:rsid w:val="00334759"/>
    <w:rsid w:val="003419D4"/>
    <w:rsid w:val="00342DE8"/>
    <w:rsid w:val="00347A53"/>
    <w:rsid w:val="00354FAE"/>
    <w:rsid w:val="00362664"/>
    <w:rsid w:val="003652F0"/>
    <w:rsid w:val="00365692"/>
    <w:rsid w:val="003678C4"/>
    <w:rsid w:val="00372252"/>
    <w:rsid w:val="0037525E"/>
    <w:rsid w:val="0037619F"/>
    <w:rsid w:val="00376DF4"/>
    <w:rsid w:val="00382A24"/>
    <w:rsid w:val="003860C6"/>
    <w:rsid w:val="00387F1E"/>
    <w:rsid w:val="003906EA"/>
    <w:rsid w:val="003B6F87"/>
    <w:rsid w:val="003B7BDE"/>
    <w:rsid w:val="003B7EB1"/>
    <w:rsid w:val="003C039C"/>
    <w:rsid w:val="003D0ED8"/>
    <w:rsid w:val="003D2F85"/>
    <w:rsid w:val="003D594C"/>
    <w:rsid w:val="003E4DDE"/>
    <w:rsid w:val="003E7202"/>
    <w:rsid w:val="003E73B6"/>
    <w:rsid w:val="003F0315"/>
    <w:rsid w:val="003F2F3A"/>
    <w:rsid w:val="003F4697"/>
    <w:rsid w:val="003F481D"/>
    <w:rsid w:val="003F54D0"/>
    <w:rsid w:val="003F56BF"/>
    <w:rsid w:val="003F571E"/>
    <w:rsid w:val="00405B60"/>
    <w:rsid w:val="004108DC"/>
    <w:rsid w:val="00411EB8"/>
    <w:rsid w:val="00413044"/>
    <w:rsid w:val="004149DB"/>
    <w:rsid w:val="004164B7"/>
    <w:rsid w:val="00417801"/>
    <w:rsid w:val="0042052A"/>
    <w:rsid w:val="0042099D"/>
    <w:rsid w:val="00436696"/>
    <w:rsid w:val="004403B9"/>
    <w:rsid w:val="004416CB"/>
    <w:rsid w:val="00442103"/>
    <w:rsid w:val="00442EDF"/>
    <w:rsid w:val="004431FB"/>
    <w:rsid w:val="00443A07"/>
    <w:rsid w:val="00443BDC"/>
    <w:rsid w:val="00443E58"/>
    <w:rsid w:val="00446E9E"/>
    <w:rsid w:val="004471E2"/>
    <w:rsid w:val="00447560"/>
    <w:rsid w:val="00452461"/>
    <w:rsid w:val="00453075"/>
    <w:rsid w:val="0045629F"/>
    <w:rsid w:val="00470623"/>
    <w:rsid w:val="004717F6"/>
    <w:rsid w:val="00475686"/>
    <w:rsid w:val="004771F2"/>
    <w:rsid w:val="00477807"/>
    <w:rsid w:val="00477AA4"/>
    <w:rsid w:val="0048254E"/>
    <w:rsid w:val="004851ED"/>
    <w:rsid w:val="00490798"/>
    <w:rsid w:val="00494291"/>
    <w:rsid w:val="004A04BA"/>
    <w:rsid w:val="004A1805"/>
    <w:rsid w:val="004A32C7"/>
    <w:rsid w:val="004A3919"/>
    <w:rsid w:val="004A4B6A"/>
    <w:rsid w:val="004A4EE5"/>
    <w:rsid w:val="004B41CD"/>
    <w:rsid w:val="004B422C"/>
    <w:rsid w:val="004B5733"/>
    <w:rsid w:val="004C3D63"/>
    <w:rsid w:val="004C4955"/>
    <w:rsid w:val="004C5C03"/>
    <w:rsid w:val="004D2FC0"/>
    <w:rsid w:val="004D75B1"/>
    <w:rsid w:val="004E081C"/>
    <w:rsid w:val="004E136E"/>
    <w:rsid w:val="004E2AEA"/>
    <w:rsid w:val="004E39BE"/>
    <w:rsid w:val="004E4467"/>
    <w:rsid w:val="004F2B49"/>
    <w:rsid w:val="004F2B76"/>
    <w:rsid w:val="004F4170"/>
    <w:rsid w:val="004F4C52"/>
    <w:rsid w:val="0050288E"/>
    <w:rsid w:val="00504CCA"/>
    <w:rsid w:val="00505A18"/>
    <w:rsid w:val="00507260"/>
    <w:rsid w:val="005119BD"/>
    <w:rsid w:val="00512497"/>
    <w:rsid w:val="00515412"/>
    <w:rsid w:val="0051639F"/>
    <w:rsid w:val="0051644F"/>
    <w:rsid w:val="00516948"/>
    <w:rsid w:val="00525C5E"/>
    <w:rsid w:val="00526844"/>
    <w:rsid w:val="00535ECD"/>
    <w:rsid w:val="00536512"/>
    <w:rsid w:val="00537F6A"/>
    <w:rsid w:val="00541AF2"/>
    <w:rsid w:val="0054228B"/>
    <w:rsid w:val="00544440"/>
    <w:rsid w:val="0054653F"/>
    <w:rsid w:val="005501B4"/>
    <w:rsid w:val="005635F2"/>
    <w:rsid w:val="00565E8E"/>
    <w:rsid w:val="0057029F"/>
    <w:rsid w:val="0057133B"/>
    <w:rsid w:val="005715FE"/>
    <w:rsid w:val="005736FA"/>
    <w:rsid w:val="00581C6F"/>
    <w:rsid w:val="0058222C"/>
    <w:rsid w:val="0058374B"/>
    <w:rsid w:val="00584DCC"/>
    <w:rsid w:val="00595609"/>
    <w:rsid w:val="00595FE8"/>
    <w:rsid w:val="00596D16"/>
    <w:rsid w:val="00596D8B"/>
    <w:rsid w:val="005974D3"/>
    <w:rsid w:val="005A3999"/>
    <w:rsid w:val="005A4251"/>
    <w:rsid w:val="005A5E69"/>
    <w:rsid w:val="005B3C8C"/>
    <w:rsid w:val="005B4C6C"/>
    <w:rsid w:val="005B5800"/>
    <w:rsid w:val="005C00A5"/>
    <w:rsid w:val="005C1201"/>
    <w:rsid w:val="005C1BF5"/>
    <w:rsid w:val="005C23D2"/>
    <w:rsid w:val="005D107B"/>
    <w:rsid w:val="005D38C6"/>
    <w:rsid w:val="005D64A6"/>
    <w:rsid w:val="005D7BE8"/>
    <w:rsid w:val="005E0038"/>
    <w:rsid w:val="005E031F"/>
    <w:rsid w:val="005E0D02"/>
    <w:rsid w:val="005E34DC"/>
    <w:rsid w:val="005E48FC"/>
    <w:rsid w:val="005E5D6A"/>
    <w:rsid w:val="005E6631"/>
    <w:rsid w:val="005F1F94"/>
    <w:rsid w:val="005F2E34"/>
    <w:rsid w:val="005F614D"/>
    <w:rsid w:val="00601100"/>
    <w:rsid w:val="006103F7"/>
    <w:rsid w:val="00611EF2"/>
    <w:rsid w:val="00612F34"/>
    <w:rsid w:val="00614720"/>
    <w:rsid w:val="00615697"/>
    <w:rsid w:val="00617FEA"/>
    <w:rsid w:val="00621566"/>
    <w:rsid w:val="00621840"/>
    <w:rsid w:val="00621ED2"/>
    <w:rsid w:val="00630413"/>
    <w:rsid w:val="00631950"/>
    <w:rsid w:val="00633A99"/>
    <w:rsid w:val="006361E8"/>
    <w:rsid w:val="00636A26"/>
    <w:rsid w:val="00640E84"/>
    <w:rsid w:val="006424C9"/>
    <w:rsid w:val="00642838"/>
    <w:rsid w:val="006430A2"/>
    <w:rsid w:val="00645F5A"/>
    <w:rsid w:val="00647052"/>
    <w:rsid w:val="00650EAA"/>
    <w:rsid w:val="00654693"/>
    <w:rsid w:val="00657D88"/>
    <w:rsid w:val="006650F5"/>
    <w:rsid w:val="0066673F"/>
    <w:rsid w:val="00673DB8"/>
    <w:rsid w:val="00675C74"/>
    <w:rsid w:val="00675DCB"/>
    <w:rsid w:val="006775E5"/>
    <w:rsid w:val="006801D9"/>
    <w:rsid w:val="00683BA1"/>
    <w:rsid w:val="00687B5A"/>
    <w:rsid w:val="00693D80"/>
    <w:rsid w:val="00695850"/>
    <w:rsid w:val="00695C8E"/>
    <w:rsid w:val="00696BD1"/>
    <w:rsid w:val="006A4175"/>
    <w:rsid w:val="006A4A2D"/>
    <w:rsid w:val="006A711A"/>
    <w:rsid w:val="006A7AE0"/>
    <w:rsid w:val="006B083F"/>
    <w:rsid w:val="006B4428"/>
    <w:rsid w:val="006B6481"/>
    <w:rsid w:val="006C053A"/>
    <w:rsid w:val="006C11F4"/>
    <w:rsid w:val="006C4926"/>
    <w:rsid w:val="006C72C6"/>
    <w:rsid w:val="006D1677"/>
    <w:rsid w:val="006D2FE3"/>
    <w:rsid w:val="006D4F76"/>
    <w:rsid w:val="006D4F81"/>
    <w:rsid w:val="006D58DB"/>
    <w:rsid w:val="006D5D1F"/>
    <w:rsid w:val="006D6F31"/>
    <w:rsid w:val="006E076E"/>
    <w:rsid w:val="006E09EE"/>
    <w:rsid w:val="006E2839"/>
    <w:rsid w:val="006E2992"/>
    <w:rsid w:val="006E38E5"/>
    <w:rsid w:val="006F020C"/>
    <w:rsid w:val="006F16AB"/>
    <w:rsid w:val="006F23F1"/>
    <w:rsid w:val="006F38B4"/>
    <w:rsid w:val="006F40C9"/>
    <w:rsid w:val="006F562E"/>
    <w:rsid w:val="00700895"/>
    <w:rsid w:val="00700F24"/>
    <w:rsid w:val="00701642"/>
    <w:rsid w:val="00706698"/>
    <w:rsid w:val="00711DC6"/>
    <w:rsid w:val="00715420"/>
    <w:rsid w:val="00717D50"/>
    <w:rsid w:val="007204B3"/>
    <w:rsid w:val="0072140A"/>
    <w:rsid w:val="00722045"/>
    <w:rsid w:val="007221C7"/>
    <w:rsid w:val="00722DFD"/>
    <w:rsid w:val="00724609"/>
    <w:rsid w:val="007261E5"/>
    <w:rsid w:val="00730A44"/>
    <w:rsid w:val="0073150E"/>
    <w:rsid w:val="0073532F"/>
    <w:rsid w:val="00737D46"/>
    <w:rsid w:val="0074416B"/>
    <w:rsid w:val="0074570E"/>
    <w:rsid w:val="007479A3"/>
    <w:rsid w:val="007512CE"/>
    <w:rsid w:val="00754434"/>
    <w:rsid w:val="00757439"/>
    <w:rsid w:val="00764232"/>
    <w:rsid w:val="00771CBA"/>
    <w:rsid w:val="0077587F"/>
    <w:rsid w:val="00775B3E"/>
    <w:rsid w:val="0078097D"/>
    <w:rsid w:val="00782D90"/>
    <w:rsid w:val="00785EB1"/>
    <w:rsid w:val="00790AB3"/>
    <w:rsid w:val="00792365"/>
    <w:rsid w:val="00793487"/>
    <w:rsid w:val="007A2701"/>
    <w:rsid w:val="007A3980"/>
    <w:rsid w:val="007A4C0F"/>
    <w:rsid w:val="007A52FD"/>
    <w:rsid w:val="007A5CE5"/>
    <w:rsid w:val="007B0433"/>
    <w:rsid w:val="007B07A4"/>
    <w:rsid w:val="007B2D53"/>
    <w:rsid w:val="007C3555"/>
    <w:rsid w:val="007D353B"/>
    <w:rsid w:val="007E13FD"/>
    <w:rsid w:val="007E32F7"/>
    <w:rsid w:val="007F0BE3"/>
    <w:rsid w:val="007F214D"/>
    <w:rsid w:val="007F21B7"/>
    <w:rsid w:val="007F2AAF"/>
    <w:rsid w:val="007F33B7"/>
    <w:rsid w:val="007F3C81"/>
    <w:rsid w:val="007F51F1"/>
    <w:rsid w:val="007F6669"/>
    <w:rsid w:val="007F70C2"/>
    <w:rsid w:val="0080072C"/>
    <w:rsid w:val="0080321E"/>
    <w:rsid w:val="00805705"/>
    <w:rsid w:val="00806B51"/>
    <w:rsid w:val="00810641"/>
    <w:rsid w:val="008107D7"/>
    <w:rsid w:val="00812D12"/>
    <w:rsid w:val="008157ED"/>
    <w:rsid w:val="008163C2"/>
    <w:rsid w:val="0081695D"/>
    <w:rsid w:val="00817A21"/>
    <w:rsid w:val="00817DE6"/>
    <w:rsid w:val="008218AD"/>
    <w:rsid w:val="00821A4D"/>
    <w:rsid w:val="00826206"/>
    <w:rsid w:val="008262DC"/>
    <w:rsid w:val="00832354"/>
    <w:rsid w:val="00833ABE"/>
    <w:rsid w:val="008344FD"/>
    <w:rsid w:val="00834C9B"/>
    <w:rsid w:val="00841C2D"/>
    <w:rsid w:val="00843DBE"/>
    <w:rsid w:val="00844193"/>
    <w:rsid w:val="00845400"/>
    <w:rsid w:val="00851026"/>
    <w:rsid w:val="00853146"/>
    <w:rsid w:val="00855009"/>
    <w:rsid w:val="008568AE"/>
    <w:rsid w:val="00860CD0"/>
    <w:rsid w:val="00872203"/>
    <w:rsid w:val="0087519E"/>
    <w:rsid w:val="00885B2B"/>
    <w:rsid w:val="008911FC"/>
    <w:rsid w:val="00895020"/>
    <w:rsid w:val="00897C71"/>
    <w:rsid w:val="008A4527"/>
    <w:rsid w:val="008A56D3"/>
    <w:rsid w:val="008B0020"/>
    <w:rsid w:val="008B04BC"/>
    <w:rsid w:val="008B1993"/>
    <w:rsid w:val="008B30BE"/>
    <w:rsid w:val="008B44BD"/>
    <w:rsid w:val="008B4EB8"/>
    <w:rsid w:val="008C13B8"/>
    <w:rsid w:val="008C2BB9"/>
    <w:rsid w:val="008C69D6"/>
    <w:rsid w:val="008D0116"/>
    <w:rsid w:val="008D2070"/>
    <w:rsid w:val="008D3A7C"/>
    <w:rsid w:val="008E1F4B"/>
    <w:rsid w:val="008E49BB"/>
    <w:rsid w:val="008E4DC0"/>
    <w:rsid w:val="008F11E3"/>
    <w:rsid w:val="008F1323"/>
    <w:rsid w:val="008F50B2"/>
    <w:rsid w:val="008F71A0"/>
    <w:rsid w:val="008F7AA0"/>
    <w:rsid w:val="008F7E30"/>
    <w:rsid w:val="009024F2"/>
    <w:rsid w:val="00902709"/>
    <w:rsid w:val="00902B44"/>
    <w:rsid w:val="00910113"/>
    <w:rsid w:val="0091119D"/>
    <w:rsid w:val="00912A94"/>
    <w:rsid w:val="00915E88"/>
    <w:rsid w:val="00921057"/>
    <w:rsid w:val="009210DD"/>
    <w:rsid w:val="00921309"/>
    <w:rsid w:val="0092182F"/>
    <w:rsid w:val="009218B2"/>
    <w:rsid w:val="00921BF9"/>
    <w:rsid w:val="009253CA"/>
    <w:rsid w:val="00925FF1"/>
    <w:rsid w:val="00926A25"/>
    <w:rsid w:val="009275AE"/>
    <w:rsid w:val="009310FC"/>
    <w:rsid w:val="00935BD5"/>
    <w:rsid w:val="00943DA1"/>
    <w:rsid w:val="00945514"/>
    <w:rsid w:val="00945C58"/>
    <w:rsid w:val="00947D43"/>
    <w:rsid w:val="0095329C"/>
    <w:rsid w:val="009572DA"/>
    <w:rsid w:val="00957D93"/>
    <w:rsid w:val="00960784"/>
    <w:rsid w:val="00960EDA"/>
    <w:rsid w:val="0096388A"/>
    <w:rsid w:val="00963A51"/>
    <w:rsid w:val="00964497"/>
    <w:rsid w:val="009714FC"/>
    <w:rsid w:val="00975241"/>
    <w:rsid w:val="009807B7"/>
    <w:rsid w:val="009807F1"/>
    <w:rsid w:val="00981C0F"/>
    <w:rsid w:val="00983CB1"/>
    <w:rsid w:val="00984D7A"/>
    <w:rsid w:val="00985C81"/>
    <w:rsid w:val="00986667"/>
    <w:rsid w:val="00991534"/>
    <w:rsid w:val="009A1C1D"/>
    <w:rsid w:val="009A4598"/>
    <w:rsid w:val="009A56C2"/>
    <w:rsid w:val="009A5BB0"/>
    <w:rsid w:val="009A6058"/>
    <w:rsid w:val="009B00D2"/>
    <w:rsid w:val="009B2068"/>
    <w:rsid w:val="009B21FE"/>
    <w:rsid w:val="009B6036"/>
    <w:rsid w:val="009C42F9"/>
    <w:rsid w:val="009C45CF"/>
    <w:rsid w:val="009C56CB"/>
    <w:rsid w:val="009D035D"/>
    <w:rsid w:val="009D0C06"/>
    <w:rsid w:val="009D32DB"/>
    <w:rsid w:val="009D5F0C"/>
    <w:rsid w:val="009E6078"/>
    <w:rsid w:val="009E6AFB"/>
    <w:rsid w:val="009E7763"/>
    <w:rsid w:val="009F265C"/>
    <w:rsid w:val="009F5607"/>
    <w:rsid w:val="009F613C"/>
    <w:rsid w:val="009F7A8A"/>
    <w:rsid w:val="00A0362C"/>
    <w:rsid w:val="00A03780"/>
    <w:rsid w:val="00A05FC0"/>
    <w:rsid w:val="00A10DE2"/>
    <w:rsid w:val="00A14C9F"/>
    <w:rsid w:val="00A15807"/>
    <w:rsid w:val="00A16C62"/>
    <w:rsid w:val="00A22D59"/>
    <w:rsid w:val="00A30DC6"/>
    <w:rsid w:val="00A34B04"/>
    <w:rsid w:val="00A3512B"/>
    <w:rsid w:val="00A4380E"/>
    <w:rsid w:val="00A43D27"/>
    <w:rsid w:val="00A44558"/>
    <w:rsid w:val="00A45470"/>
    <w:rsid w:val="00A4771D"/>
    <w:rsid w:val="00A5245F"/>
    <w:rsid w:val="00A529ED"/>
    <w:rsid w:val="00A53569"/>
    <w:rsid w:val="00A61086"/>
    <w:rsid w:val="00A6244E"/>
    <w:rsid w:val="00A638D0"/>
    <w:rsid w:val="00A6679D"/>
    <w:rsid w:val="00A67259"/>
    <w:rsid w:val="00A73085"/>
    <w:rsid w:val="00A75381"/>
    <w:rsid w:val="00A777EA"/>
    <w:rsid w:val="00A816BA"/>
    <w:rsid w:val="00A83320"/>
    <w:rsid w:val="00A85972"/>
    <w:rsid w:val="00A97DC6"/>
    <w:rsid w:val="00A97F78"/>
    <w:rsid w:val="00AA010B"/>
    <w:rsid w:val="00AA10F7"/>
    <w:rsid w:val="00AA236C"/>
    <w:rsid w:val="00AB67E2"/>
    <w:rsid w:val="00AC155C"/>
    <w:rsid w:val="00AC1889"/>
    <w:rsid w:val="00AC2700"/>
    <w:rsid w:val="00AC2B1A"/>
    <w:rsid w:val="00AC3235"/>
    <w:rsid w:val="00AC455C"/>
    <w:rsid w:val="00AD1A2F"/>
    <w:rsid w:val="00AE1AC6"/>
    <w:rsid w:val="00AE27F2"/>
    <w:rsid w:val="00AE3982"/>
    <w:rsid w:val="00AF03CC"/>
    <w:rsid w:val="00AF36FF"/>
    <w:rsid w:val="00AF4AD6"/>
    <w:rsid w:val="00AF60A2"/>
    <w:rsid w:val="00AF770E"/>
    <w:rsid w:val="00AF7C7F"/>
    <w:rsid w:val="00B0019E"/>
    <w:rsid w:val="00B021C8"/>
    <w:rsid w:val="00B046C9"/>
    <w:rsid w:val="00B04720"/>
    <w:rsid w:val="00B056D4"/>
    <w:rsid w:val="00B109AA"/>
    <w:rsid w:val="00B1190E"/>
    <w:rsid w:val="00B11E1F"/>
    <w:rsid w:val="00B1232E"/>
    <w:rsid w:val="00B1237B"/>
    <w:rsid w:val="00B157D7"/>
    <w:rsid w:val="00B2006D"/>
    <w:rsid w:val="00B23550"/>
    <w:rsid w:val="00B30624"/>
    <w:rsid w:val="00B314F1"/>
    <w:rsid w:val="00B33648"/>
    <w:rsid w:val="00B34060"/>
    <w:rsid w:val="00B346CD"/>
    <w:rsid w:val="00B353CB"/>
    <w:rsid w:val="00B35EFC"/>
    <w:rsid w:val="00B37584"/>
    <w:rsid w:val="00B4232D"/>
    <w:rsid w:val="00B44EEE"/>
    <w:rsid w:val="00B45CA9"/>
    <w:rsid w:val="00B55A93"/>
    <w:rsid w:val="00B5769A"/>
    <w:rsid w:val="00B60FBE"/>
    <w:rsid w:val="00B646C0"/>
    <w:rsid w:val="00B7164C"/>
    <w:rsid w:val="00B722D9"/>
    <w:rsid w:val="00B7407D"/>
    <w:rsid w:val="00B852C8"/>
    <w:rsid w:val="00B91B59"/>
    <w:rsid w:val="00B91C7B"/>
    <w:rsid w:val="00B9303E"/>
    <w:rsid w:val="00B943FE"/>
    <w:rsid w:val="00B949CC"/>
    <w:rsid w:val="00B97CA4"/>
    <w:rsid w:val="00BA380F"/>
    <w:rsid w:val="00BB0C92"/>
    <w:rsid w:val="00BB22E2"/>
    <w:rsid w:val="00BB2770"/>
    <w:rsid w:val="00BB42BE"/>
    <w:rsid w:val="00BB6EA1"/>
    <w:rsid w:val="00BC45AB"/>
    <w:rsid w:val="00BC7708"/>
    <w:rsid w:val="00BD58B7"/>
    <w:rsid w:val="00BF1965"/>
    <w:rsid w:val="00BF7202"/>
    <w:rsid w:val="00C068FA"/>
    <w:rsid w:val="00C06EA0"/>
    <w:rsid w:val="00C127BA"/>
    <w:rsid w:val="00C14110"/>
    <w:rsid w:val="00C22754"/>
    <w:rsid w:val="00C24002"/>
    <w:rsid w:val="00C2518E"/>
    <w:rsid w:val="00C30B1F"/>
    <w:rsid w:val="00C33DED"/>
    <w:rsid w:val="00C351A6"/>
    <w:rsid w:val="00C40BAA"/>
    <w:rsid w:val="00C43CC8"/>
    <w:rsid w:val="00C4636F"/>
    <w:rsid w:val="00C50063"/>
    <w:rsid w:val="00C506F7"/>
    <w:rsid w:val="00C53F07"/>
    <w:rsid w:val="00C54693"/>
    <w:rsid w:val="00C552AD"/>
    <w:rsid w:val="00C671B1"/>
    <w:rsid w:val="00C67BAD"/>
    <w:rsid w:val="00C7127D"/>
    <w:rsid w:val="00C7189E"/>
    <w:rsid w:val="00C73DA4"/>
    <w:rsid w:val="00C771C6"/>
    <w:rsid w:val="00C77D5B"/>
    <w:rsid w:val="00C81D9E"/>
    <w:rsid w:val="00C83E01"/>
    <w:rsid w:val="00C86C03"/>
    <w:rsid w:val="00C87486"/>
    <w:rsid w:val="00C9606F"/>
    <w:rsid w:val="00C9769F"/>
    <w:rsid w:val="00CA1EF8"/>
    <w:rsid w:val="00CA2D29"/>
    <w:rsid w:val="00CA3D9B"/>
    <w:rsid w:val="00CA7932"/>
    <w:rsid w:val="00CB2784"/>
    <w:rsid w:val="00CB37FA"/>
    <w:rsid w:val="00CB6763"/>
    <w:rsid w:val="00CC687B"/>
    <w:rsid w:val="00CD188A"/>
    <w:rsid w:val="00CE1E61"/>
    <w:rsid w:val="00CE3487"/>
    <w:rsid w:val="00CE37E8"/>
    <w:rsid w:val="00CE6911"/>
    <w:rsid w:val="00CE76DF"/>
    <w:rsid w:val="00CE7DDC"/>
    <w:rsid w:val="00CF0D8C"/>
    <w:rsid w:val="00CF4646"/>
    <w:rsid w:val="00CF5406"/>
    <w:rsid w:val="00CF584C"/>
    <w:rsid w:val="00CF628E"/>
    <w:rsid w:val="00D0126C"/>
    <w:rsid w:val="00D0211C"/>
    <w:rsid w:val="00D02ADC"/>
    <w:rsid w:val="00D036EA"/>
    <w:rsid w:val="00D06950"/>
    <w:rsid w:val="00D07054"/>
    <w:rsid w:val="00D11A88"/>
    <w:rsid w:val="00D14156"/>
    <w:rsid w:val="00D15603"/>
    <w:rsid w:val="00D17DBD"/>
    <w:rsid w:val="00D21098"/>
    <w:rsid w:val="00D23996"/>
    <w:rsid w:val="00D2401C"/>
    <w:rsid w:val="00D2739B"/>
    <w:rsid w:val="00D273CB"/>
    <w:rsid w:val="00D27F14"/>
    <w:rsid w:val="00D32D87"/>
    <w:rsid w:val="00D33D1D"/>
    <w:rsid w:val="00D35807"/>
    <w:rsid w:val="00D364A6"/>
    <w:rsid w:val="00D40558"/>
    <w:rsid w:val="00D407A4"/>
    <w:rsid w:val="00D4145C"/>
    <w:rsid w:val="00D4198E"/>
    <w:rsid w:val="00D4763B"/>
    <w:rsid w:val="00D47D9B"/>
    <w:rsid w:val="00D50053"/>
    <w:rsid w:val="00D50757"/>
    <w:rsid w:val="00D52E55"/>
    <w:rsid w:val="00D547EF"/>
    <w:rsid w:val="00D5489D"/>
    <w:rsid w:val="00D556E7"/>
    <w:rsid w:val="00D5638F"/>
    <w:rsid w:val="00D64D57"/>
    <w:rsid w:val="00D67657"/>
    <w:rsid w:val="00D710E7"/>
    <w:rsid w:val="00D727A8"/>
    <w:rsid w:val="00D7633A"/>
    <w:rsid w:val="00D76E18"/>
    <w:rsid w:val="00D77D6C"/>
    <w:rsid w:val="00D85835"/>
    <w:rsid w:val="00D87433"/>
    <w:rsid w:val="00D92E89"/>
    <w:rsid w:val="00D94123"/>
    <w:rsid w:val="00D9636F"/>
    <w:rsid w:val="00DA30ED"/>
    <w:rsid w:val="00DA7818"/>
    <w:rsid w:val="00DB7369"/>
    <w:rsid w:val="00DC3004"/>
    <w:rsid w:val="00DC5355"/>
    <w:rsid w:val="00DC62D5"/>
    <w:rsid w:val="00DC764C"/>
    <w:rsid w:val="00DC76AC"/>
    <w:rsid w:val="00DD202D"/>
    <w:rsid w:val="00DD52F6"/>
    <w:rsid w:val="00DD5C89"/>
    <w:rsid w:val="00DE4086"/>
    <w:rsid w:val="00DE6510"/>
    <w:rsid w:val="00DE6ED6"/>
    <w:rsid w:val="00DF0403"/>
    <w:rsid w:val="00DF05CE"/>
    <w:rsid w:val="00DF1D11"/>
    <w:rsid w:val="00DF42BF"/>
    <w:rsid w:val="00DF5E41"/>
    <w:rsid w:val="00E0204F"/>
    <w:rsid w:val="00E03B25"/>
    <w:rsid w:val="00E06004"/>
    <w:rsid w:val="00E06BE1"/>
    <w:rsid w:val="00E078E6"/>
    <w:rsid w:val="00E113B8"/>
    <w:rsid w:val="00E165E9"/>
    <w:rsid w:val="00E16FE2"/>
    <w:rsid w:val="00E22FC7"/>
    <w:rsid w:val="00E27163"/>
    <w:rsid w:val="00E50577"/>
    <w:rsid w:val="00E57F51"/>
    <w:rsid w:val="00E60BB7"/>
    <w:rsid w:val="00E70961"/>
    <w:rsid w:val="00E72C10"/>
    <w:rsid w:val="00E732CC"/>
    <w:rsid w:val="00E745BE"/>
    <w:rsid w:val="00E75995"/>
    <w:rsid w:val="00E808C3"/>
    <w:rsid w:val="00E80AE8"/>
    <w:rsid w:val="00E83601"/>
    <w:rsid w:val="00E8585F"/>
    <w:rsid w:val="00E91625"/>
    <w:rsid w:val="00E94F99"/>
    <w:rsid w:val="00E95985"/>
    <w:rsid w:val="00E96E70"/>
    <w:rsid w:val="00EA3571"/>
    <w:rsid w:val="00EA5030"/>
    <w:rsid w:val="00EA55EF"/>
    <w:rsid w:val="00EA7CE9"/>
    <w:rsid w:val="00EB166A"/>
    <w:rsid w:val="00EB383B"/>
    <w:rsid w:val="00EB4AB5"/>
    <w:rsid w:val="00EB63BC"/>
    <w:rsid w:val="00EB6AA5"/>
    <w:rsid w:val="00EC4649"/>
    <w:rsid w:val="00EC5B4B"/>
    <w:rsid w:val="00EC69C5"/>
    <w:rsid w:val="00EC797F"/>
    <w:rsid w:val="00ED4892"/>
    <w:rsid w:val="00EE0129"/>
    <w:rsid w:val="00EE0BA5"/>
    <w:rsid w:val="00EE1A93"/>
    <w:rsid w:val="00EE33DC"/>
    <w:rsid w:val="00EE52C8"/>
    <w:rsid w:val="00EE6A86"/>
    <w:rsid w:val="00EF0096"/>
    <w:rsid w:val="00EF4686"/>
    <w:rsid w:val="00EF4730"/>
    <w:rsid w:val="00EF6533"/>
    <w:rsid w:val="00EF770B"/>
    <w:rsid w:val="00F00DC5"/>
    <w:rsid w:val="00F0266E"/>
    <w:rsid w:val="00F04A71"/>
    <w:rsid w:val="00F118BC"/>
    <w:rsid w:val="00F20A81"/>
    <w:rsid w:val="00F21ED4"/>
    <w:rsid w:val="00F22042"/>
    <w:rsid w:val="00F26356"/>
    <w:rsid w:val="00F30DDE"/>
    <w:rsid w:val="00F33063"/>
    <w:rsid w:val="00F33401"/>
    <w:rsid w:val="00F371CA"/>
    <w:rsid w:val="00F40BC7"/>
    <w:rsid w:val="00F42321"/>
    <w:rsid w:val="00F442F8"/>
    <w:rsid w:val="00F52AFC"/>
    <w:rsid w:val="00F570C4"/>
    <w:rsid w:val="00F60764"/>
    <w:rsid w:val="00F61266"/>
    <w:rsid w:val="00F61769"/>
    <w:rsid w:val="00F62B46"/>
    <w:rsid w:val="00F66127"/>
    <w:rsid w:val="00F6687E"/>
    <w:rsid w:val="00F7425A"/>
    <w:rsid w:val="00F746DE"/>
    <w:rsid w:val="00F74810"/>
    <w:rsid w:val="00F752C9"/>
    <w:rsid w:val="00F8082E"/>
    <w:rsid w:val="00F85293"/>
    <w:rsid w:val="00F91553"/>
    <w:rsid w:val="00F91616"/>
    <w:rsid w:val="00F91EC2"/>
    <w:rsid w:val="00F9411C"/>
    <w:rsid w:val="00F9494F"/>
    <w:rsid w:val="00F95515"/>
    <w:rsid w:val="00F97F5F"/>
    <w:rsid w:val="00FA1BB3"/>
    <w:rsid w:val="00FA2822"/>
    <w:rsid w:val="00FA3C22"/>
    <w:rsid w:val="00FA4520"/>
    <w:rsid w:val="00FA6439"/>
    <w:rsid w:val="00FA69D0"/>
    <w:rsid w:val="00FB04AD"/>
    <w:rsid w:val="00FB1708"/>
    <w:rsid w:val="00FB1A9B"/>
    <w:rsid w:val="00FB2B27"/>
    <w:rsid w:val="00FB5B87"/>
    <w:rsid w:val="00FB6E56"/>
    <w:rsid w:val="00FC4D8F"/>
    <w:rsid w:val="00FD30A1"/>
    <w:rsid w:val="00FD7B8F"/>
    <w:rsid w:val="00FD7FEE"/>
    <w:rsid w:val="00FE3003"/>
    <w:rsid w:val="00FE3542"/>
    <w:rsid w:val="00FE6ECF"/>
    <w:rsid w:val="00FE7398"/>
    <w:rsid w:val="00FF40DE"/>
    <w:rsid w:val="00FF64B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0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7"/>
  </w:style>
  <w:style w:type="paragraph" w:styleId="Heading1">
    <w:name w:val="heading 1"/>
    <w:basedOn w:val="Normal"/>
    <w:next w:val="Normal"/>
    <w:link w:val="Heading1Char"/>
    <w:uiPriority w:val="9"/>
    <w:qFormat/>
    <w:rsid w:val="00F20A8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042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2D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0A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F2204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22042"/>
    <w:pPr>
      <w:keepLines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2042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E3487"/>
  </w:style>
  <w:style w:type="character" w:styleId="Hyperlink">
    <w:name w:val="Hyperlink"/>
    <w:basedOn w:val="DefaultParagraphFont"/>
    <w:uiPriority w:val="99"/>
    <w:unhideWhenUsed/>
    <w:rsid w:val="006C05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039C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C039C"/>
  </w:style>
  <w:style w:type="paragraph" w:styleId="ListBullet">
    <w:name w:val="List Bullet"/>
    <w:basedOn w:val="Normal"/>
    <w:uiPriority w:val="99"/>
    <w:unhideWhenUsed/>
    <w:rsid w:val="009210DD"/>
    <w:pPr>
      <w:numPr>
        <w:numId w:val="3"/>
      </w:numPr>
      <w:spacing w:after="120" w:line="30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6C053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26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C797F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C797F"/>
  </w:style>
  <w:style w:type="character" w:styleId="FootnoteReference">
    <w:name w:val="footnote reference"/>
    <w:basedOn w:val="DefaultParagraphFont"/>
    <w:uiPriority w:val="99"/>
    <w:semiHidden/>
    <w:unhideWhenUsed/>
    <w:rsid w:val="00DC30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A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6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6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7"/>
  </w:style>
  <w:style w:type="paragraph" w:styleId="Heading1">
    <w:name w:val="heading 1"/>
    <w:basedOn w:val="Normal"/>
    <w:next w:val="Normal"/>
    <w:link w:val="Heading1Char"/>
    <w:uiPriority w:val="9"/>
    <w:qFormat/>
    <w:rsid w:val="00F20A8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042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2D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0A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F2204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22042"/>
    <w:pPr>
      <w:keepLines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2042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E3487"/>
  </w:style>
  <w:style w:type="character" w:styleId="Hyperlink">
    <w:name w:val="Hyperlink"/>
    <w:basedOn w:val="DefaultParagraphFont"/>
    <w:uiPriority w:val="99"/>
    <w:unhideWhenUsed/>
    <w:rsid w:val="006C05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039C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C039C"/>
  </w:style>
  <w:style w:type="paragraph" w:styleId="ListBullet">
    <w:name w:val="List Bullet"/>
    <w:basedOn w:val="Normal"/>
    <w:uiPriority w:val="99"/>
    <w:unhideWhenUsed/>
    <w:rsid w:val="009210DD"/>
    <w:pPr>
      <w:numPr>
        <w:numId w:val="3"/>
      </w:numPr>
      <w:spacing w:after="120" w:line="30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6C053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26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C797F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C797F"/>
  </w:style>
  <w:style w:type="character" w:styleId="FootnoteReference">
    <w:name w:val="footnote reference"/>
    <w:basedOn w:val="DefaultParagraphFont"/>
    <w:uiPriority w:val="99"/>
    <w:semiHidden/>
    <w:unhideWhenUsed/>
    <w:rsid w:val="00DC30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A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6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www.nytimes.com/2000/12/13/business/wharton-school-to-start-program-in-san-francisco.html" TargetMode="External"/><Relationship Id="rId14" Type="http://schemas.openxmlformats.org/officeDocument/2006/relationships/hyperlink" Target="http://web.mit.edu/ipc/publications/pdf/05-010.pdf" TargetMode="External"/><Relationship Id="rId15" Type="http://schemas.openxmlformats.org/officeDocument/2006/relationships/hyperlink" Target="http://ipira.berkeley.edu/bio-michael-cohen-uc-berkeley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3267</Words>
  <Characters>18627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OTL, UC Berkeley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Cohen</dc:creator>
  <cp:lastModifiedBy>Michael Cohen</cp:lastModifiedBy>
  <cp:revision>3</cp:revision>
  <cp:lastPrinted>2012-10-23T19:18:00Z</cp:lastPrinted>
  <dcterms:created xsi:type="dcterms:W3CDTF">2012-10-23T19:18:00Z</dcterms:created>
  <dcterms:modified xsi:type="dcterms:W3CDTF">2012-10-23T19:20:00Z</dcterms:modified>
</cp:coreProperties>
</file>